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F10A" w14:textId="20044062" w:rsidR="007A0624" w:rsidRPr="009C3B2A" w:rsidRDefault="00CF4576">
      <w:pPr>
        <w:rPr>
          <w:b/>
          <w:sz w:val="30"/>
          <w:szCs w:val="30"/>
        </w:rPr>
      </w:pPr>
      <w:r w:rsidRPr="009C3B2A">
        <w:rPr>
          <w:b/>
          <w:sz w:val="30"/>
          <w:szCs w:val="30"/>
        </w:rPr>
        <w:t xml:space="preserve">CFCO </w:t>
      </w:r>
      <w:r w:rsidR="005B4A57">
        <w:rPr>
          <w:b/>
          <w:sz w:val="30"/>
          <w:szCs w:val="30"/>
        </w:rPr>
        <w:t>R</w:t>
      </w:r>
      <w:r w:rsidRPr="009C3B2A">
        <w:rPr>
          <w:b/>
          <w:sz w:val="30"/>
          <w:szCs w:val="30"/>
        </w:rPr>
        <w:t>R</w:t>
      </w:r>
      <w:r w:rsidR="006C5EE1">
        <w:rPr>
          <w:b/>
          <w:sz w:val="30"/>
          <w:szCs w:val="30"/>
        </w:rPr>
        <w:t>/</w:t>
      </w:r>
      <w:r w:rsidRPr="009C3B2A">
        <w:rPr>
          <w:b/>
          <w:sz w:val="30"/>
          <w:szCs w:val="30"/>
        </w:rPr>
        <w:t>E Code Maintenance Analysis</w:t>
      </w:r>
    </w:p>
    <w:p w14:paraId="1557487F" w14:textId="2829CE37" w:rsidR="00CF4576" w:rsidRPr="009C3B2A" w:rsidRDefault="00CF4576">
      <w:pPr>
        <w:rPr>
          <w:sz w:val="26"/>
          <w:szCs w:val="26"/>
        </w:rPr>
      </w:pPr>
      <w:r w:rsidRPr="009C3B2A">
        <w:rPr>
          <w:sz w:val="26"/>
          <w:szCs w:val="26"/>
        </w:rPr>
        <w:t>Executive Budget Fiscal Proposal Summary</w:t>
      </w:r>
    </w:p>
    <w:p w14:paraId="69B0478D" w14:textId="6BBF7E6D" w:rsidR="00CF4576" w:rsidRDefault="00CF4576">
      <w:r>
        <w:t>New York State receives a 6% enhanced FMAP for costs associated with Community First Choice Option (CFCO) state plan services which include Personal Care, CDPAS, Home Health Aide, PERS and NEMT. These fun</w:t>
      </w:r>
      <w:r w:rsidR="00C43D9A">
        <w:t>d</w:t>
      </w:r>
      <w:r>
        <w:t xml:space="preserve">s can be claimed for CFCO services delivered </w:t>
      </w:r>
      <w:r w:rsidR="00E537F3">
        <w:t xml:space="preserve">via </w:t>
      </w:r>
      <w:r>
        <w:t xml:space="preserve">fee-for-service or managed care. </w:t>
      </w:r>
      <w:r w:rsidR="00C43D9A">
        <w:t>LDSS’s, MCOs and OPWDD are responsible for adding and maintaining CF</w:t>
      </w:r>
      <w:r w:rsidR="005A007B">
        <w:t xml:space="preserve"> and </w:t>
      </w:r>
      <w:r w:rsidR="00C43D9A">
        <w:t>CO R</w:t>
      </w:r>
      <w:r w:rsidR="004D04CF">
        <w:t>R/</w:t>
      </w:r>
      <w:r w:rsidR="00C43D9A">
        <w:t xml:space="preserve">E </w:t>
      </w:r>
      <w:r w:rsidR="004D04CF">
        <w:t>c</w:t>
      </w:r>
      <w:r w:rsidR="00C43D9A">
        <w:t>odes for Medicaid members as part of assessment and eligibility determination activities.</w:t>
      </w:r>
    </w:p>
    <w:p w14:paraId="7BD39DED" w14:textId="5CAEAC81" w:rsidR="008560C3" w:rsidRDefault="00C43D9A">
      <w:r>
        <w:t xml:space="preserve">The CFCO 6% FMAP claiming process performed by Deloitte and the Division of Finance and Rate Setting (DFRS) relies on the CF/CO </w:t>
      </w:r>
      <w:r w:rsidR="00A05EC9">
        <w:t>R</w:t>
      </w:r>
      <w:r>
        <w:t>R</w:t>
      </w:r>
      <w:r w:rsidR="00A05EC9">
        <w:t>/</w:t>
      </w:r>
      <w:r>
        <w:t xml:space="preserve">E </w:t>
      </w:r>
      <w:r w:rsidR="00984346">
        <w:t>c</w:t>
      </w:r>
      <w:r>
        <w:t xml:space="preserve">odes </w:t>
      </w:r>
      <w:r w:rsidR="002A20F2">
        <w:t>managed by LDSS, MCOs and OPWDD. A preliminary comparison of the 6% FMAP claimed between 2019 and 2021 indicates that FMAP was not claimed for up to approximately 1</w:t>
      </w:r>
      <w:r w:rsidR="00661026">
        <w:t>28,700</w:t>
      </w:r>
      <w:r w:rsidR="002A20F2">
        <w:t xml:space="preserve"> likely CFCO eligible members in 2021 which represents approximately $21</w:t>
      </w:r>
      <w:r w:rsidR="00661026">
        <w:t>1,331,</w:t>
      </w:r>
      <w:r w:rsidR="0099689D">
        <w:t>040</w:t>
      </w:r>
      <w:r w:rsidR="002A20F2">
        <w:t xml:space="preserve">. </w:t>
      </w:r>
      <w:r w:rsidR="00984346">
        <w:t xml:space="preserve">This is an analysis of the </w:t>
      </w:r>
      <w:r w:rsidR="0099689D">
        <w:t>Managed Care</w:t>
      </w:r>
      <w:r w:rsidR="00984346">
        <w:t xml:space="preserve"> population</w:t>
      </w:r>
      <w:r w:rsidR="007E21E7">
        <w:t xml:space="preserve"> identified by CF RR/E code</w:t>
      </w:r>
      <w:r w:rsidR="00110BB4">
        <w:t xml:space="preserve"> for 6% FMAP claiming</w:t>
      </w:r>
      <w:r w:rsidR="00984346">
        <w:t xml:space="preserve"> and does not include the</w:t>
      </w:r>
      <w:r w:rsidR="0099689D">
        <w:t xml:space="preserve"> fee-for service and OPWDD populations</w:t>
      </w:r>
      <w:r w:rsidR="00984346">
        <w:t xml:space="preserve">. </w:t>
      </w:r>
      <w:r w:rsidR="002A20F2">
        <w:t>It is suspected that there are multiple factors involved with the potential gap in claiming</w:t>
      </w:r>
      <w:r w:rsidR="62DCA55E">
        <w:t>. The primary contributors are</w:t>
      </w:r>
      <w:r w:rsidR="002A20F2">
        <w:t xml:space="preserve"> </w:t>
      </w:r>
      <w:r w:rsidR="76A8DF5A">
        <w:t>suspected to be</w:t>
      </w:r>
      <w:r w:rsidR="35776572">
        <w:t>:</w:t>
      </w:r>
      <w:r w:rsidR="76A8DF5A">
        <w:t xml:space="preserve"> </w:t>
      </w:r>
    </w:p>
    <w:p w14:paraId="45A1C719" w14:textId="7573A1C2" w:rsidR="008560C3" w:rsidRDefault="6A33B95E" w:rsidP="7E408576">
      <w:pPr>
        <w:pStyle w:val="ListParagraph"/>
        <w:numPr>
          <w:ilvl w:val="0"/>
          <w:numId w:val="2"/>
        </w:numPr>
      </w:pPr>
      <w:r>
        <w:t>T</w:t>
      </w:r>
      <w:r w:rsidR="76A8DF5A">
        <w:t xml:space="preserve">he </w:t>
      </w:r>
      <w:r w:rsidR="00B918E1">
        <w:t xml:space="preserve">inconsistent </w:t>
      </w:r>
      <w:r w:rsidR="008560C3">
        <w:t>maintenance of CF R</w:t>
      </w:r>
      <w:r w:rsidR="00D2168C">
        <w:t>R/</w:t>
      </w:r>
      <w:r w:rsidR="008560C3">
        <w:t>E Codes at the plan level</w:t>
      </w:r>
      <w:r w:rsidR="006E05B9">
        <w:t>.</w:t>
      </w:r>
      <w:r w:rsidR="008560C3">
        <w:t xml:space="preserve"> </w:t>
      </w:r>
    </w:p>
    <w:p w14:paraId="6B3861E5" w14:textId="70118A0E" w:rsidR="00972BCD" w:rsidRDefault="3FEBB3DB" w:rsidP="00975708">
      <w:pPr>
        <w:pStyle w:val="ListParagraph"/>
        <w:numPr>
          <w:ilvl w:val="0"/>
          <w:numId w:val="2"/>
        </w:numPr>
      </w:pPr>
      <w:r>
        <w:t>D</w:t>
      </w:r>
      <w:r w:rsidR="008560C3">
        <w:t xml:space="preserve">elays in the performance of annual UAS-NY reassessments </w:t>
      </w:r>
      <w:r w:rsidR="005C0D8D">
        <w:t>because of</w:t>
      </w:r>
      <w:r w:rsidR="008560C3">
        <w:t xml:space="preserve"> COVID-19</w:t>
      </w:r>
      <w:r w:rsidR="402B7351">
        <w:t xml:space="preserve"> Public Health Emergency (PHE), which placed a re</w:t>
      </w:r>
      <w:r w:rsidR="009A0B9F">
        <w:t xml:space="preserve">ferendum on the requirement to conduct </w:t>
      </w:r>
      <w:r w:rsidR="00E800DB">
        <w:t>bi-annual Community Health Assessments (CHAs)</w:t>
      </w:r>
      <w:r w:rsidR="00493FF7">
        <w:t>.</w:t>
      </w:r>
    </w:p>
    <w:p w14:paraId="018B2887" w14:textId="77777777" w:rsidR="00821357" w:rsidRPr="00ED4DD4" w:rsidRDefault="00821357" w:rsidP="00821357">
      <w:pPr>
        <w:pStyle w:val="ListParagraph"/>
        <w:numPr>
          <w:ilvl w:val="0"/>
          <w:numId w:val="2"/>
        </w:numPr>
        <w:rPr>
          <w:color w:val="FFFFFF" w:themeColor="background1"/>
        </w:rPr>
      </w:pPr>
    </w:p>
    <w:p w14:paraId="6F2C9596" w14:textId="4963CED7" w:rsidR="00972BCD" w:rsidRDefault="00972BCD" w:rsidP="00972BCD">
      <w:r>
        <w:t>Without accura</w:t>
      </w:r>
      <w:r w:rsidR="00A37507">
        <w:t xml:space="preserve">te information pertaining to the CF </w:t>
      </w:r>
      <w:r w:rsidR="00D2168C">
        <w:t>R</w:t>
      </w:r>
      <w:r w:rsidR="00A37507">
        <w:t>R</w:t>
      </w:r>
      <w:r w:rsidR="003249A5">
        <w:t>/</w:t>
      </w:r>
      <w:r w:rsidR="00A37507">
        <w:t>E code or NFLOC</w:t>
      </w:r>
      <w:r w:rsidR="008C620F">
        <w:t>, members who should be eligible for</w:t>
      </w:r>
      <w:r w:rsidR="00F229A8">
        <w:t xml:space="preserve"> 6% enhanced FMAP will </w:t>
      </w:r>
      <w:r w:rsidR="00D45D45">
        <w:t>simply be eliminated from the current claiming logic, executed every 6 months.</w:t>
      </w:r>
    </w:p>
    <w:p w14:paraId="71ECA16C" w14:textId="1502E134" w:rsidR="00A77101" w:rsidRDefault="0056252F">
      <w:r>
        <w:t>Propose</w:t>
      </w:r>
      <w:r w:rsidR="008560C3">
        <w:t xml:space="preserve"> to execute a pilot with DOH-selected MLTC Plans and DOH MLTC Plan Managers to </w:t>
      </w:r>
      <w:r w:rsidR="00302EB2">
        <w:t>accomplish</w:t>
      </w:r>
      <w:r w:rsidR="00A77101">
        <w:t xml:space="preserve"> the following</w:t>
      </w:r>
      <w:r w:rsidR="009C3B2A">
        <w:t xml:space="preserve"> regarding to improving the accuracy of CF R</w:t>
      </w:r>
      <w:r w:rsidR="0078524C">
        <w:t>R/</w:t>
      </w:r>
      <w:r w:rsidR="009C3B2A">
        <w:t>E Codes</w:t>
      </w:r>
      <w:r w:rsidR="00A77101">
        <w:t>:</w:t>
      </w:r>
    </w:p>
    <w:p w14:paraId="7030F619" w14:textId="2A864C3A" w:rsidR="00C43D9A" w:rsidRDefault="00A77101" w:rsidP="00A77101">
      <w:pPr>
        <w:pStyle w:val="ListParagraph"/>
        <w:numPr>
          <w:ilvl w:val="0"/>
          <w:numId w:val="1"/>
        </w:numPr>
      </w:pPr>
      <w:r>
        <w:t>A</w:t>
      </w:r>
      <w:r w:rsidR="008560C3">
        <w:t>nalyze</w:t>
      </w:r>
      <w:r>
        <w:t xml:space="preserve"> current state</w:t>
      </w:r>
      <w:r w:rsidR="008560C3">
        <w:t xml:space="preserve"> plan </w:t>
      </w:r>
      <w:r>
        <w:t xml:space="preserve">responsibilities for </w:t>
      </w:r>
      <w:r w:rsidR="008560C3">
        <w:t>CF</w:t>
      </w:r>
      <w:r>
        <w:t xml:space="preserve"> </w:t>
      </w:r>
      <w:r w:rsidR="00704834">
        <w:t>R</w:t>
      </w:r>
      <w:r>
        <w:t>R</w:t>
      </w:r>
      <w:r w:rsidR="00704834">
        <w:t>/</w:t>
      </w:r>
      <w:r>
        <w:t>E Code maintenance</w:t>
      </w:r>
      <w:r w:rsidR="006E05B9">
        <w:t>.</w:t>
      </w:r>
    </w:p>
    <w:p w14:paraId="1424533B" w14:textId="7D2719B8" w:rsidR="00A77101" w:rsidRDefault="00A77101" w:rsidP="00A77101">
      <w:pPr>
        <w:pStyle w:val="ListParagraph"/>
        <w:numPr>
          <w:ilvl w:val="0"/>
          <w:numId w:val="1"/>
        </w:numPr>
      </w:pPr>
      <w:r>
        <w:t xml:space="preserve">Develop a chase list of “likely CFCO eligible” members that currently do not have a CF </w:t>
      </w:r>
      <w:r w:rsidR="00704834">
        <w:t>R</w:t>
      </w:r>
      <w:r>
        <w:t>R</w:t>
      </w:r>
      <w:r w:rsidR="00704834">
        <w:t>/</w:t>
      </w:r>
      <w:r>
        <w:t>E Code assigned and work with plans to validate appropriate status of each member record</w:t>
      </w:r>
      <w:r w:rsidR="006E05B9">
        <w:t>.</w:t>
      </w:r>
    </w:p>
    <w:p w14:paraId="2B775FA4" w14:textId="126980BA" w:rsidR="00A77101" w:rsidRDefault="00A77101" w:rsidP="00A77101">
      <w:pPr>
        <w:pStyle w:val="ListParagraph"/>
        <w:numPr>
          <w:ilvl w:val="0"/>
          <w:numId w:val="1"/>
        </w:numPr>
      </w:pPr>
      <w:r>
        <w:t>Analyze other issues related to the code maintenance processes</w:t>
      </w:r>
      <w:r w:rsidR="001128D4">
        <w:t>.</w:t>
      </w:r>
    </w:p>
    <w:p w14:paraId="7505B2B1" w14:textId="19886D76" w:rsidR="009B6079" w:rsidRDefault="009B6079" w:rsidP="00A77101">
      <w:pPr>
        <w:pStyle w:val="ListParagraph"/>
        <w:numPr>
          <w:ilvl w:val="0"/>
          <w:numId w:val="1"/>
        </w:numPr>
      </w:pPr>
      <w:r>
        <w:t xml:space="preserve">Develop </w:t>
      </w:r>
      <w:r w:rsidR="00AC2084">
        <w:t>solution options to ensure CFCO 6% FMAP is maximized including but not limited to:</w:t>
      </w:r>
    </w:p>
    <w:p w14:paraId="4737E8F9" w14:textId="21D198C8" w:rsidR="00A77101" w:rsidRDefault="00A77101" w:rsidP="00632CFB">
      <w:pPr>
        <w:pStyle w:val="ListParagraph"/>
        <w:numPr>
          <w:ilvl w:val="1"/>
          <w:numId w:val="1"/>
        </w:numPr>
      </w:pPr>
      <w:r>
        <w:t>Develop a Statewide R</w:t>
      </w:r>
      <w:r w:rsidR="00704834">
        <w:t>R</w:t>
      </w:r>
      <w:r>
        <w:t xml:space="preserve">/E Code Maintenance Plan and associated </w:t>
      </w:r>
      <w:r w:rsidR="008F033C">
        <w:t>guidance based on the outcomes of the analysis</w:t>
      </w:r>
      <w:r w:rsidR="001128D4">
        <w:t>.</w:t>
      </w:r>
    </w:p>
    <w:p w14:paraId="00096DE6" w14:textId="77777777" w:rsidR="008F27E6" w:rsidRDefault="00632CFB" w:rsidP="008F27E6">
      <w:pPr>
        <w:pStyle w:val="ListParagraph"/>
        <w:numPr>
          <w:ilvl w:val="1"/>
          <w:numId w:val="1"/>
        </w:numPr>
      </w:pPr>
      <w:r>
        <w:t xml:space="preserve">Systems enhancements to </w:t>
      </w:r>
      <w:r w:rsidR="00811BE8">
        <w:t>remove plan</w:t>
      </w:r>
      <w:r w:rsidR="00894C71">
        <w:t xml:space="preserve"> and LDSS</w:t>
      </w:r>
      <w:r w:rsidR="00811BE8">
        <w:t xml:space="preserve"> responsibilities for </w:t>
      </w:r>
      <w:r w:rsidR="00D42D20">
        <w:t xml:space="preserve">maintaining CF </w:t>
      </w:r>
      <w:r w:rsidR="006E05B9">
        <w:t>RR/E codes.</w:t>
      </w:r>
    </w:p>
    <w:p w14:paraId="0E69E07C" w14:textId="17F0A235" w:rsidR="00755672" w:rsidRDefault="008B15C0">
      <w:r>
        <w:t xml:space="preserve">The purpose of this analysis is not to </w:t>
      </w:r>
      <w:r w:rsidR="006E59C1">
        <w:t xml:space="preserve">review or modify the CFCO service definitions that the </w:t>
      </w:r>
      <w:r w:rsidR="004B0049">
        <w:t xml:space="preserve">DFRS and Deloitte claiming methodology </w:t>
      </w:r>
      <w:r w:rsidR="001C5F92">
        <w:t>utilizes;</w:t>
      </w:r>
      <w:r w:rsidR="004B0049">
        <w:t xml:space="preserve"> it is only intended to examine the CF RR/E codes that are inputs to the claiming process.</w:t>
      </w:r>
    </w:p>
    <w:p w14:paraId="7BFB6790" w14:textId="77777777" w:rsidR="00755672" w:rsidRDefault="00755672"/>
    <w:p w14:paraId="415A8C2D" w14:textId="475CA6BD" w:rsidR="00556F56" w:rsidRPr="00ED4DD4" w:rsidRDefault="00755672" w:rsidP="00ED4DD4">
      <w:pPr>
        <w:jc w:val="center"/>
        <w:rPr>
          <w:b/>
          <w:bCs/>
        </w:rPr>
      </w:pPr>
      <w:r w:rsidRPr="00ED4DD4">
        <w:rPr>
          <w:b/>
          <w:bCs/>
        </w:rPr>
        <w:t>CF RR/E Code Pilot Plan Timeline</w:t>
      </w:r>
    </w:p>
    <w:p w14:paraId="2FC1DD19" w14:textId="11926F6C" w:rsidR="00556F56" w:rsidRDefault="00556F56" w:rsidP="00ED4DD4">
      <w:r>
        <w:rPr>
          <w:noProof/>
        </w:rPr>
        <w:drawing>
          <wp:inline distT="0" distB="0" distL="0" distR="0" wp14:anchorId="3B2D70FF" wp14:editId="7ED274D7">
            <wp:extent cx="6430010" cy="13995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5236" cy="1413767"/>
                    </a:xfrm>
                    <a:prstGeom prst="rect">
                      <a:avLst/>
                    </a:prstGeom>
                    <a:noFill/>
                  </pic:spPr>
                </pic:pic>
              </a:graphicData>
            </a:graphic>
          </wp:inline>
        </w:drawing>
      </w:r>
    </w:p>
    <w:p w14:paraId="726A9DBA" w14:textId="77777777" w:rsidR="00DF7106" w:rsidRDefault="00DF7106"/>
    <w:p w14:paraId="419845E2" w14:textId="0907D21B" w:rsidR="007C4DCB" w:rsidRPr="00ED4DD4" w:rsidRDefault="001E03ED">
      <w:pPr>
        <w:rPr>
          <w:b/>
          <w:bCs/>
        </w:rPr>
      </w:pPr>
      <w:r w:rsidRPr="00ED4DD4">
        <w:rPr>
          <w:b/>
          <w:bCs/>
        </w:rPr>
        <w:t>Cost Savings</w:t>
      </w:r>
      <w:r w:rsidR="00C925A7" w:rsidRPr="00ED4DD4">
        <w:rPr>
          <w:b/>
          <w:bCs/>
        </w:rPr>
        <w:t xml:space="preserve"> Projections</w:t>
      </w:r>
    </w:p>
    <w:p w14:paraId="4AA74B9B" w14:textId="77777777" w:rsidR="00DE675B" w:rsidRPr="00A81C3D" w:rsidRDefault="00DE675B" w:rsidP="00DE675B">
      <w:pPr>
        <w:jc w:val="center"/>
        <w:rPr>
          <w:b/>
          <w:bCs/>
        </w:rPr>
      </w:pPr>
      <w:r w:rsidRPr="00A81C3D">
        <w:rPr>
          <w:b/>
          <w:bCs/>
        </w:rPr>
        <w:t>Table 1: MCO Pilot Population and Cost Savings Projections</w:t>
      </w:r>
    </w:p>
    <w:tbl>
      <w:tblPr>
        <w:tblStyle w:val="TableGrid"/>
        <w:tblW w:w="0" w:type="auto"/>
        <w:tblLook w:val="04A0" w:firstRow="1" w:lastRow="0" w:firstColumn="1" w:lastColumn="0" w:noHBand="0" w:noVBand="1"/>
      </w:tblPr>
      <w:tblGrid>
        <w:gridCol w:w="857"/>
        <w:gridCol w:w="2746"/>
        <w:gridCol w:w="2898"/>
        <w:gridCol w:w="2849"/>
      </w:tblGrid>
      <w:tr w:rsidR="00DE675B" w:rsidRPr="00CB31B1" w14:paraId="62E93E25" w14:textId="77777777">
        <w:trPr>
          <w:trHeight w:val="782"/>
        </w:trPr>
        <w:tc>
          <w:tcPr>
            <w:tcW w:w="940" w:type="dxa"/>
            <w:shd w:val="clear" w:color="auto" w:fill="D9E2F3" w:themeFill="accent1" w:themeFillTint="33"/>
            <w:hideMark/>
          </w:tcPr>
          <w:p w14:paraId="0F0C5A58" w14:textId="77777777" w:rsidR="00DE675B" w:rsidRPr="00CB31B1" w:rsidRDefault="00DE675B">
            <w:pPr>
              <w:jc w:val="center"/>
              <w:rPr>
                <w:b/>
                <w:bCs/>
              </w:rPr>
            </w:pPr>
            <w:r w:rsidRPr="00CB31B1">
              <w:rPr>
                <w:b/>
                <w:bCs/>
              </w:rPr>
              <w:t>Year</w:t>
            </w:r>
          </w:p>
        </w:tc>
        <w:tc>
          <w:tcPr>
            <w:tcW w:w="3440" w:type="dxa"/>
            <w:shd w:val="clear" w:color="auto" w:fill="D9E2F3" w:themeFill="accent1" w:themeFillTint="33"/>
            <w:hideMark/>
          </w:tcPr>
          <w:p w14:paraId="67F29E0F" w14:textId="77777777" w:rsidR="00DE675B" w:rsidRPr="00CB31B1" w:rsidRDefault="00DE675B">
            <w:pPr>
              <w:jc w:val="center"/>
              <w:rPr>
                <w:b/>
                <w:bCs/>
              </w:rPr>
            </w:pPr>
            <w:r w:rsidRPr="00CB31B1">
              <w:rPr>
                <w:b/>
                <w:bCs/>
              </w:rPr>
              <w:t>Count of MCO Members Missing a CF RR/E Code</w:t>
            </w:r>
            <w:r>
              <w:rPr>
                <w:rStyle w:val="FootnoteReference"/>
                <w:b/>
                <w:bCs/>
              </w:rPr>
              <w:footnoteReference w:id="2"/>
            </w:r>
          </w:p>
        </w:tc>
        <w:tc>
          <w:tcPr>
            <w:tcW w:w="3440" w:type="dxa"/>
            <w:shd w:val="clear" w:color="auto" w:fill="D9E2F3" w:themeFill="accent1" w:themeFillTint="33"/>
            <w:hideMark/>
          </w:tcPr>
          <w:p w14:paraId="61A69936" w14:textId="77777777" w:rsidR="00DE675B" w:rsidRPr="00CB31B1" w:rsidRDefault="00DE675B">
            <w:pPr>
              <w:jc w:val="center"/>
              <w:rPr>
                <w:b/>
                <w:bCs/>
              </w:rPr>
            </w:pPr>
            <w:r w:rsidRPr="00CB31B1">
              <w:rPr>
                <w:b/>
                <w:bCs/>
              </w:rPr>
              <w:t xml:space="preserve">Total CFCO Service Cost </w:t>
            </w:r>
            <w:proofErr w:type="gramStart"/>
            <w:r w:rsidRPr="00CB31B1">
              <w:rPr>
                <w:b/>
                <w:bCs/>
              </w:rPr>
              <w:t>For</w:t>
            </w:r>
            <w:proofErr w:type="gramEnd"/>
            <w:r w:rsidRPr="00CB31B1">
              <w:rPr>
                <w:b/>
                <w:bCs/>
              </w:rPr>
              <w:t xml:space="preserve"> MCO Pilot Members</w:t>
            </w:r>
            <w:r>
              <w:rPr>
                <w:rStyle w:val="FootnoteReference"/>
                <w:b/>
                <w:bCs/>
              </w:rPr>
              <w:footnoteReference w:id="3"/>
            </w:r>
          </w:p>
        </w:tc>
        <w:tc>
          <w:tcPr>
            <w:tcW w:w="3440" w:type="dxa"/>
            <w:shd w:val="clear" w:color="auto" w:fill="D9E2F3" w:themeFill="accent1" w:themeFillTint="33"/>
            <w:hideMark/>
          </w:tcPr>
          <w:p w14:paraId="4F509ECF" w14:textId="77777777" w:rsidR="00DE675B" w:rsidRPr="00CB31B1" w:rsidRDefault="00DE675B">
            <w:pPr>
              <w:jc w:val="center"/>
              <w:rPr>
                <w:b/>
                <w:bCs/>
              </w:rPr>
            </w:pPr>
            <w:r w:rsidRPr="00CB31B1">
              <w:rPr>
                <w:b/>
                <w:bCs/>
              </w:rPr>
              <w:t>Potential Additional 6% FMAP From Improving RR/E Code</w:t>
            </w:r>
          </w:p>
        </w:tc>
      </w:tr>
      <w:tr w:rsidR="00DE675B" w:rsidRPr="00CB31B1" w14:paraId="30102BDF" w14:textId="77777777">
        <w:trPr>
          <w:trHeight w:val="315"/>
        </w:trPr>
        <w:tc>
          <w:tcPr>
            <w:tcW w:w="940" w:type="dxa"/>
            <w:hideMark/>
          </w:tcPr>
          <w:p w14:paraId="2901EE34" w14:textId="77777777" w:rsidR="00DE675B" w:rsidRPr="00CB31B1" w:rsidRDefault="00DE675B">
            <w:r w:rsidRPr="00CB31B1">
              <w:t>2019</w:t>
            </w:r>
          </w:p>
        </w:tc>
        <w:tc>
          <w:tcPr>
            <w:tcW w:w="3440" w:type="dxa"/>
            <w:hideMark/>
          </w:tcPr>
          <w:p w14:paraId="4A1C15C9" w14:textId="77777777" w:rsidR="00DE675B" w:rsidRPr="00CB31B1" w:rsidRDefault="00DE675B">
            <w:pPr>
              <w:jc w:val="right"/>
            </w:pPr>
            <w:r w:rsidRPr="00CB31B1">
              <w:t>120,639</w:t>
            </w:r>
          </w:p>
        </w:tc>
        <w:tc>
          <w:tcPr>
            <w:tcW w:w="3440" w:type="dxa"/>
            <w:hideMark/>
          </w:tcPr>
          <w:p w14:paraId="327C9224" w14:textId="77777777" w:rsidR="00DE675B" w:rsidRPr="00CB31B1" w:rsidRDefault="00DE675B">
            <w:pPr>
              <w:jc w:val="right"/>
            </w:pPr>
            <w:r>
              <w:t>$</w:t>
            </w:r>
            <w:r w:rsidRPr="00CB31B1">
              <w:t xml:space="preserve"> 3,225,490,123 </w:t>
            </w:r>
          </w:p>
        </w:tc>
        <w:tc>
          <w:tcPr>
            <w:tcW w:w="3440" w:type="dxa"/>
            <w:hideMark/>
          </w:tcPr>
          <w:p w14:paraId="6FFF4BE9" w14:textId="7D7BB042" w:rsidR="00DE675B" w:rsidRPr="00CB31B1" w:rsidRDefault="00DE675B">
            <w:pPr>
              <w:jc w:val="right"/>
            </w:pPr>
            <w:r w:rsidRPr="00CB31B1">
              <w:t xml:space="preserve"> $</w:t>
            </w:r>
            <w:r w:rsidR="002C0D47">
              <w:t>1</w:t>
            </w:r>
            <w:r w:rsidRPr="00CB31B1">
              <w:t xml:space="preserve">93,529,407 </w:t>
            </w:r>
          </w:p>
        </w:tc>
      </w:tr>
      <w:tr w:rsidR="00DE675B" w:rsidRPr="00CB31B1" w14:paraId="52239FE4" w14:textId="77777777">
        <w:trPr>
          <w:trHeight w:val="315"/>
        </w:trPr>
        <w:tc>
          <w:tcPr>
            <w:tcW w:w="940" w:type="dxa"/>
            <w:hideMark/>
          </w:tcPr>
          <w:p w14:paraId="776FD829" w14:textId="77777777" w:rsidR="00DE675B" w:rsidRPr="00CB31B1" w:rsidRDefault="00DE675B">
            <w:r w:rsidRPr="00CB31B1">
              <w:t>2020</w:t>
            </w:r>
          </w:p>
        </w:tc>
        <w:tc>
          <w:tcPr>
            <w:tcW w:w="3440" w:type="dxa"/>
            <w:hideMark/>
          </w:tcPr>
          <w:p w14:paraId="18C4880B" w14:textId="77777777" w:rsidR="00DE675B" w:rsidRPr="00CB31B1" w:rsidRDefault="00DE675B">
            <w:pPr>
              <w:jc w:val="right"/>
            </w:pPr>
            <w:r w:rsidRPr="00CB31B1">
              <w:t>118,347</w:t>
            </w:r>
          </w:p>
        </w:tc>
        <w:tc>
          <w:tcPr>
            <w:tcW w:w="3440" w:type="dxa"/>
            <w:hideMark/>
          </w:tcPr>
          <w:p w14:paraId="46A3DE3F" w14:textId="77777777" w:rsidR="00DE675B" w:rsidRPr="00CB31B1" w:rsidRDefault="00DE675B">
            <w:pPr>
              <w:jc w:val="right"/>
            </w:pPr>
            <w:r w:rsidRPr="00CB31B1">
              <w:t>$3,045,028,911</w:t>
            </w:r>
          </w:p>
        </w:tc>
        <w:tc>
          <w:tcPr>
            <w:tcW w:w="3440" w:type="dxa"/>
            <w:hideMark/>
          </w:tcPr>
          <w:p w14:paraId="1791DEF8" w14:textId="77777777" w:rsidR="00DE675B" w:rsidRPr="00CB31B1" w:rsidRDefault="00DE675B">
            <w:pPr>
              <w:jc w:val="right"/>
            </w:pPr>
            <w:r w:rsidRPr="00CB31B1">
              <w:t xml:space="preserve"> </w:t>
            </w:r>
            <w:r>
              <w:t>$</w:t>
            </w:r>
            <w:r w:rsidRPr="00CB31B1">
              <w:t xml:space="preserve">182,701,735 </w:t>
            </w:r>
          </w:p>
        </w:tc>
      </w:tr>
      <w:tr w:rsidR="00DE675B" w:rsidRPr="00CB31B1" w14:paraId="6316C5CD" w14:textId="77777777">
        <w:trPr>
          <w:trHeight w:val="315"/>
        </w:trPr>
        <w:tc>
          <w:tcPr>
            <w:tcW w:w="940" w:type="dxa"/>
            <w:hideMark/>
          </w:tcPr>
          <w:p w14:paraId="3BB9D8D4" w14:textId="77777777" w:rsidR="00DE675B" w:rsidRPr="00CB31B1" w:rsidRDefault="00DE675B">
            <w:r w:rsidRPr="00CB31B1">
              <w:t>2021</w:t>
            </w:r>
          </w:p>
        </w:tc>
        <w:tc>
          <w:tcPr>
            <w:tcW w:w="3440" w:type="dxa"/>
            <w:hideMark/>
          </w:tcPr>
          <w:p w14:paraId="63BFFF2D" w14:textId="77777777" w:rsidR="00DE675B" w:rsidRPr="00CB31B1" w:rsidRDefault="00DE675B">
            <w:pPr>
              <w:jc w:val="right"/>
            </w:pPr>
            <w:r w:rsidRPr="00CB31B1">
              <w:t>128,700</w:t>
            </w:r>
          </w:p>
        </w:tc>
        <w:tc>
          <w:tcPr>
            <w:tcW w:w="3440" w:type="dxa"/>
            <w:hideMark/>
          </w:tcPr>
          <w:p w14:paraId="57AD4A19" w14:textId="77777777" w:rsidR="00DE675B" w:rsidRPr="00CB31B1" w:rsidRDefault="00DE675B">
            <w:pPr>
              <w:jc w:val="right"/>
            </w:pPr>
            <w:r w:rsidRPr="00CB31B1">
              <w:t xml:space="preserve"> $3,522,183,998 </w:t>
            </w:r>
          </w:p>
        </w:tc>
        <w:tc>
          <w:tcPr>
            <w:tcW w:w="3440" w:type="dxa"/>
            <w:hideMark/>
          </w:tcPr>
          <w:p w14:paraId="2E007860" w14:textId="77777777" w:rsidR="00DE675B" w:rsidRPr="00CB31B1" w:rsidRDefault="00DE675B">
            <w:pPr>
              <w:jc w:val="right"/>
            </w:pPr>
            <w:r w:rsidRPr="00CB31B1">
              <w:t xml:space="preserve"> $211,331,040 </w:t>
            </w:r>
          </w:p>
        </w:tc>
      </w:tr>
    </w:tbl>
    <w:p w14:paraId="245DD0CC" w14:textId="6B582AF0" w:rsidR="000C6868" w:rsidRDefault="000C6868">
      <w:pPr>
        <w:rPr>
          <w:sz w:val="26"/>
          <w:szCs w:val="26"/>
        </w:rPr>
      </w:pPr>
    </w:p>
    <w:p w14:paraId="30742DC7" w14:textId="169DA28E" w:rsidR="000C6868" w:rsidRPr="00ED4DD4" w:rsidRDefault="000C6868">
      <w:pPr>
        <w:rPr>
          <w:b/>
          <w:bCs/>
        </w:rPr>
      </w:pPr>
      <w:r w:rsidRPr="00ED4DD4">
        <w:rPr>
          <w:b/>
          <w:bCs/>
        </w:rPr>
        <w:t>Solution Options and Associated Costs</w:t>
      </w:r>
    </w:p>
    <w:p w14:paraId="3871E1A7" w14:textId="31BAA7E4" w:rsidR="00E90B00" w:rsidRDefault="00E90B00">
      <w:r w:rsidRPr="00ED4DD4">
        <w:t xml:space="preserve">All solution options </w:t>
      </w:r>
      <w:r w:rsidR="00CF2101" w:rsidRPr="00ED4DD4">
        <w:t xml:space="preserve">include executing the CF RR/E Code Pilot to </w:t>
      </w:r>
      <w:r w:rsidR="00003594" w:rsidRPr="00ED4DD4">
        <w:t xml:space="preserve">analyze the </w:t>
      </w:r>
      <w:r w:rsidR="00C53229" w:rsidRPr="00ED4DD4">
        <w:t>code maintenance process before implementing any changes.</w:t>
      </w:r>
    </w:p>
    <w:p w14:paraId="60C7ABFE" w14:textId="170A4BA8" w:rsidR="008469D9" w:rsidRPr="00ED4DD4" w:rsidRDefault="008469D9" w:rsidP="00ED4DD4">
      <w:pPr>
        <w:jc w:val="center"/>
        <w:rPr>
          <w:b/>
          <w:bCs/>
        </w:rPr>
      </w:pPr>
      <w:r w:rsidRPr="00ED4DD4">
        <w:rPr>
          <w:b/>
          <w:bCs/>
        </w:rPr>
        <w:t>Table 2: CF RR/E Code Solution Options</w:t>
      </w:r>
    </w:p>
    <w:tbl>
      <w:tblPr>
        <w:tblStyle w:val="TableGrid"/>
        <w:tblW w:w="0" w:type="auto"/>
        <w:tblLook w:val="04A0" w:firstRow="1" w:lastRow="0" w:firstColumn="1" w:lastColumn="0" w:noHBand="0" w:noVBand="1"/>
      </w:tblPr>
      <w:tblGrid>
        <w:gridCol w:w="3116"/>
        <w:gridCol w:w="3719"/>
        <w:gridCol w:w="2515"/>
      </w:tblGrid>
      <w:tr w:rsidR="00C179C9" w14:paraId="57CAF405" w14:textId="77777777" w:rsidTr="00ED4DD4">
        <w:trPr>
          <w:cantSplit/>
          <w:tblHeader/>
        </w:trPr>
        <w:tc>
          <w:tcPr>
            <w:tcW w:w="3116" w:type="dxa"/>
            <w:shd w:val="clear" w:color="auto" w:fill="D9E2F3" w:themeFill="accent1" w:themeFillTint="33"/>
          </w:tcPr>
          <w:p w14:paraId="216E44AD" w14:textId="0E383337" w:rsidR="00C179C9" w:rsidRPr="00ED4DD4" w:rsidRDefault="00C179C9" w:rsidP="00ED4DD4">
            <w:pPr>
              <w:jc w:val="center"/>
              <w:rPr>
                <w:b/>
                <w:bCs/>
              </w:rPr>
            </w:pPr>
            <w:r w:rsidRPr="00ED4DD4">
              <w:rPr>
                <w:b/>
                <w:bCs/>
              </w:rPr>
              <w:t>Solution</w:t>
            </w:r>
          </w:p>
        </w:tc>
        <w:tc>
          <w:tcPr>
            <w:tcW w:w="3719" w:type="dxa"/>
            <w:shd w:val="clear" w:color="auto" w:fill="D9E2F3" w:themeFill="accent1" w:themeFillTint="33"/>
          </w:tcPr>
          <w:p w14:paraId="1E4D6AF4" w14:textId="1FC8FA87" w:rsidR="00C179C9" w:rsidRPr="00ED4DD4" w:rsidRDefault="00897426" w:rsidP="00ED4DD4">
            <w:pPr>
              <w:jc w:val="center"/>
              <w:rPr>
                <w:b/>
                <w:bCs/>
              </w:rPr>
            </w:pPr>
            <w:r w:rsidRPr="00ED4DD4">
              <w:rPr>
                <w:b/>
                <w:bCs/>
              </w:rPr>
              <w:t>Considerations</w:t>
            </w:r>
          </w:p>
        </w:tc>
        <w:tc>
          <w:tcPr>
            <w:tcW w:w="2515" w:type="dxa"/>
            <w:shd w:val="clear" w:color="auto" w:fill="D9E2F3" w:themeFill="accent1" w:themeFillTint="33"/>
          </w:tcPr>
          <w:p w14:paraId="1B0CDEC5" w14:textId="01536AF8" w:rsidR="00C179C9" w:rsidRPr="00ED4DD4" w:rsidRDefault="00891D9E" w:rsidP="00ED4DD4">
            <w:pPr>
              <w:jc w:val="center"/>
              <w:rPr>
                <w:b/>
                <w:bCs/>
              </w:rPr>
            </w:pPr>
            <w:r w:rsidRPr="00ED4DD4">
              <w:rPr>
                <w:b/>
                <w:bCs/>
              </w:rPr>
              <w:t>Potential Costs</w:t>
            </w:r>
          </w:p>
        </w:tc>
      </w:tr>
      <w:tr w:rsidR="00C179C9" w14:paraId="1B7D6300" w14:textId="77777777" w:rsidTr="00ED4DD4">
        <w:trPr>
          <w:cantSplit/>
        </w:trPr>
        <w:tc>
          <w:tcPr>
            <w:tcW w:w="3116" w:type="dxa"/>
          </w:tcPr>
          <w:p w14:paraId="20005675" w14:textId="0ADEAD2D" w:rsidR="00C179C9" w:rsidRPr="00D27A07" w:rsidRDefault="00C53229" w:rsidP="00ED4DD4">
            <w:pPr>
              <w:pStyle w:val="ListParagraph"/>
              <w:numPr>
                <w:ilvl w:val="0"/>
                <w:numId w:val="5"/>
              </w:numPr>
            </w:pPr>
            <w:r w:rsidRPr="00D27A07">
              <w:t>Develop a Statewide RR/E Code Maintenance Plan and associated guidance based on the outcomes of the analysis</w:t>
            </w:r>
          </w:p>
        </w:tc>
        <w:tc>
          <w:tcPr>
            <w:tcW w:w="3719" w:type="dxa"/>
          </w:tcPr>
          <w:p w14:paraId="79F46E98" w14:textId="62B37978" w:rsidR="00C179C9" w:rsidRPr="00ED4DD4" w:rsidRDefault="002D7AEC" w:rsidP="00C53229">
            <w:pPr>
              <w:pStyle w:val="ListParagraph"/>
              <w:numPr>
                <w:ilvl w:val="0"/>
                <w:numId w:val="4"/>
              </w:numPr>
            </w:pPr>
            <w:r w:rsidRPr="00ED4DD4">
              <w:t>Does not require an</w:t>
            </w:r>
            <w:r w:rsidR="00922E38" w:rsidRPr="00ED4DD4">
              <w:t>y DOH</w:t>
            </w:r>
            <w:r w:rsidRPr="00ED4DD4">
              <w:t xml:space="preserve"> systems changes</w:t>
            </w:r>
          </w:p>
          <w:p w14:paraId="70B931FD" w14:textId="77777777" w:rsidR="002D7AEC" w:rsidRPr="00ED4DD4" w:rsidRDefault="002D7AEC" w:rsidP="00C53229">
            <w:pPr>
              <w:pStyle w:val="ListParagraph"/>
              <w:numPr>
                <w:ilvl w:val="0"/>
                <w:numId w:val="4"/>
              </w:numPr>
            </w:pPr>
            <w:r w:rsidRPr="00ED4DD4">
              <w:t xml:space="preserve">Aligns with current </w:t>
            </w:r>
            <w:r w:rsidR="000F3D83" w:rsidRPr="00ED4DD4">
              <w:t>approved CFCO claiming methodology</w:t>
            </w:r>
          </w:p>
          <w:p w14:paraId="48019CE5" w14:textId="03C5ED94" w:rsidR="000F3D83" w:rsidRPr="00D27A07" w:rsidRDefault="00ED5074" w:rsidP="00ED4DD4">
            <w:pPr>
              <w:pStyle w:val="ListParagraph"/>
              <w:numPr>
                <w:ilvl w:val="0"/>
                <w:numId w:val="4"/>
              </w:numPr>
            </w:pPr>
            <w:r w:rsidRPr="00ED4DD4">
              <w:t>Process remains dependent on MCOs following guidance</w:t>
            </w:r>
            <w:r w:rsidR="00E263C6" w:rsidRPr="00ED4DD4">
              <w:t xml:space="preserve"> and require</w:t>
            </w:r>
            <w:r w:rsidR="00897426" w:rsidRPr="00ED4DD4">
              <w:t>s</w:t>
            </w:r>
            <w:r w:rsidR="00E263C6" w:rsidRPr="00ED4DD4">
              <w:t xml:space="preserve"> ongoing monitoring for comp</w:t>
            </w:r>
            <w:r w:rsidR="00897426" w:rsidRPr="00ED4DD4">
              <w:t>liance</w:t>
            </w:r>
          </w:p>
        </w:tc>
        <w:tc>
          <w:tcPr>
            <w:tcW w:w="2515" w:type="dxa"/>
          </w:tcPr>
          <w:p w14:paraId="5DA70523" w14:textId="77777777" w:rsidR="00C179C9" w:rsidRPr="00ED4DD4" w:rsidRDefault="00555CF0" w:rsidP="00555CF0">
            <w:pPr>
              <w:pStyle w:val="ListParagraph"/>
              <w:numPr>
                <w:ilvl w:val="0"/>
                <w:numId w:val="4"/>
              </w:numPr>
            </w:pPr>
            <w:r w:rsidRPr="00ED4DD4">
              <w:t>1.5 NYSTEC FTE for execution</w:t>
            </w:r>
          </w:p>
          <w:p w14:paraId="00ECE798" w14:textId="2ABF4DFF" w:rsidR="001C6DEC" w:rsidRPr="00D27A07" w:rsidRDefault="001C6DEC" w:rsidP="00DD592B"/>
        </w:tc>
      </w:tr>
      <w:tr w:rsidR="00DD592B" w14:paraId="39DF7143" w14:textId="77777777" w:rsidTr="00ED4DD4">
        <w:trPr>
          <w:cantSplit/>
        </w:trPr>
        <w:tc>
          <w:tcPr>
            <w:tcW w:w="3116" w:type="dxa"/>
          </w:tcPr>
          <w:p w14:paraId="57DBF300" w14:textId="09010EDA" w:rsidR="00DD592B" w:rsidRPr="00ED4DD4" w:rsidRDefault="00DD592B" w:rsidP="00481424">
            <w:pPr>
              <w:pStyle w:val="ListParagraph"/>
              <w:numPr>
                <w:ilvl w:val="0"/>
                <w:numId w:val="5"/>
              </w:numPr>
            </w:pPr>
            <w:r w:rsidRPr="00ED4DD4">
              <w:t xml:space="preserve">Solution Option 1 plus a one-time update to CF RR/E </w:t>
            </w:r>
            <w:r w:rsidR="000B4CA9" w:rsidRPr="00ED4DD4">
              <w:t>Codes to update member records that are CF eligible but missing the code</w:t>
            </w:r>
          </w:p>
        </w:tc>
        <w:tc>
          <w:tcPr>
            <w:tcW w:w="3719" w:type="dxa"/>
          </w:tcPr>
          <w:p w14:paraId="71D93CB7" w14:textId="77777777" w:rsidR="00DD592B" w:rsidRPr="00ED4DD4" w:rsidRDefault="007A4425" w:rsidP="00C53229">
            <w:pPr>
              <w:pStyle w:val="ListParagraph"/>
              <w:numPr>
                <w:ilvl w:val="0"/>
                <w:numId w:val="4"/>
              </w:numPr>
            </w:pPr>
            <w:r w:rsidRPr="00ED4DD4">
              <w:t xml:space="preserve">One-time </w:t>
            </w:r>
            <w:r w:rsidR="004C37D4" w:rsidRPr="00ED4DD4">
              <w:t xml:space="preserve">update to RR/E codes will help state </w:t>
            </w:r>
            <w:r w:rsidR="00B33F46" w:rsidRPr="00ED4DD4">
              <w:t xml:space="preserve">claim additional FMAP sooner than waiting for </w:t>
            </w:r>
            <w:r w:rsidR="00922E38" w:rsidRPr="00ED4DD4">
              <w:t xml:space="preserve">MCOs to update </w:t>
            </w:r>
            <w:r w:rsidR="003B2E24" w:rsidRPr="00ED4DD4">
              <w:t>codes</w:t>
            </w:r>
          </w:p>
          <w:p w14:paraId="2C0621D1" w14:textId="5B8064B7" w:rsidR="003B2E24" w:rsidRPr="00ED4DD4" w:rsidRDefault="003B2E24" w:rsidP="00C53229">
            <w:pPr>
              <w:pStyle w:val="ListParagraph"/>
              <w:numPr>
                <w:ilvl w:val="0"/>
                <w:numId w:val="4"/>
              </w:numPr>
            </w:pPr>
            <w:r w:rsidRPr="00ED4DD4">
              <w:t>Process remains dependent on MCOs following guidance</w:t>
            </w:r>
            <w:r w:rsidR="00897426" w:rsidRPr="00ED4DD4">
              <w:t xml:space="preserve"> requires ongoing monitoring for compliance</w:t>
            </w:r>
          </w:p>
        </w:tc>
        <w:tc>
          <w:tcPr>
            <w:tcW w:w="2515" w:type="dxa"/>
          </w:tcPr>
          <w:p w14:paraId="49F654E9" w14:textId="77777777" w:rsidR="00EA5863" w:rsidRPr="00ED4DD4" w:rsidRDefault="00EA5863" w:rsidP="00EA5863">
            <w:pPr>
              <w:pStyle w:val="ListParagraph"/>
              <w:numPr>
                <w:ilvl w:val="0"/>
                <w:numId w:val="4"/>
              </w:numPr>
            </w:pPr>
            <w:r w:rsidRPr="00ED4DD4">
              <w:t>1.5 NYSTEC FTE for execution</w:t>
            </w:r>
          </w:p>
          <w:p w14:paraId="024C081A" w14:textId="38609433" w:rsidR="00EC29BA" w:rsidRPr="00CF40BA" w:rsidRDefault="00CF40BA" w:rsidP="000534DF">
            <w:pPr>
              <w:pStyle w:val="ListParagraph"/>
              <w:numPr>
                <w:ilvl w:val="0"/>
                <w:numId w:val="4"/>
              </w:numPr>
            </w:pPr>
            <w:r>
              <w:t>~</w:t>
            </w:r>
            <w:proofErr w:type="gramStart"/>
            <w:r w:rsidR="00354B57" w:rsidRPr="00CF40BA">
              <w:t>397 hour</w:t>
            </w:r>
            <w:proofErr w:type="gramEnd"/>
            <w:r w:rsidR="00354B57" w:rsidRPr="00CF40BA">
              <w:t xml:space="preserve"> </w:t>
            </w:r>
            <w:r w:rsidR="001466B7" w:rsidRPr="00CF40BA">
              <w:t>LOE for similar updates</w:t>
            </w:r>
            <w:r w:rsidR="00354B57" w:rsidRPr="00CF40BA">
              <w:t xml:space="preserve"> </w:t>
            </w:r>
            <w:r w:rsidR="00EA5863" w:rsidRPr="00ED4DD4">
              <w:t>on historical EP</w:t>
            </w:r>
            <w:r w:rsidR="007B631C" w:rsidRPr="00ED4DD4">
              <w:t>2118</w:t>
            </w:r>
          </w:p>
        </w:tc>
      </w:tr>
      <w:tr w:rsidR="00EC29BA" w14:paraId="5B7D9909" w14:textId="77777777" w:rsidTr="00ED4DD4">
        <w:trPr>
          <w:cantSplit/>
        </w:trPr>
        <w:tc>
          <w:tcPr>
            <w:tcW w:w="3116" w:type="dxa"/>
          </w:tcPr>
          <w:p w14:paraId="0476CE49" w14:textId="6297C8C6" w:rsidR="00EC29BA" w:rsidRPr="00ED4DD4" w:rsidRDefault="000534DF" w:rsidP="00481424">
            <w:pPr>
              <w:pStyle w:val="ListParagraph"/>
              <w:numPr>
                <w:ilvl w:val="0"/>
                <w:numId w:val="5"/>
              </w:numPr>
            </w:pPr>
            <w:r w:rsidRPr="00ED4DD4">
              <w:t xml:space="preserve">Update DOH systems to </w:t>
            </w:r>
            <w:r w:rsidR="00A278CE" w:rsidRPr="00ED4DD4">
              <w:t>determine members that are CF</w:t>
            </w:r>
            <w:r w:rsidR="00E263C6" w:rsidRPr="00ED4DD4">
              <w:t>CO</w:t>
            </w:r>
            <w:r w:rsidR="00A278CE" w:rsidRPr="00ED4DD4">
              <w:t xml:space="preserve"> eligible for enhanced FMAP claiming without </w:t>
            </w:r>
            <w:r w:rsidR="00E263C6" w:rsidRPr="00ED4DD4">
              <w:t xml:space="preserve">using </w:t>
            </w:r>
            <w:r w:rsidR="00DE675B">
              <w:t>codes maintained by plans or LDSS</w:t>
            </w:r>
          </w:p>
        </w:tc>
        <w:tc>
          <w:tcPr>
            <w:tcW w:w="3719" w:type="dxa"/>
          </w:tcPr>
          <w:p w14:paraId="6074CC3B" w14:textId="147FB860" w:rsidR="000017DB" w:rsidRDefault="00231B5A" w:rsidP="000017DB">
            <w:pPr>
              <w:pStyle w:val="ListParagraph"/>
              <w:numPr>
                <w:ilvl w:val="0"/>
                <w:numId w:val="4"/>
              </w:numPr>
            </w:pPr>
            <w:r>
              <w:t>W</w:t>
            </w:r>
            <w:r w:rsidR="000017DB" w:rsidRPr="000017DB">
              <w:t>ill help state claim additional FMAP sooner than waiting for MCOs to update codes</w:t>
            </w:r>
          </w:p>
          <w:p w14:paraId="20E11257" w14:textId="3CD5A6B6" w:rsidR="00231B5A" w:rsidRDefault="00231B5A" w:rsidP="00F53018">
            <w:pPr>
              <w:pStyle w:val="ListParagraph"/>
              <w:numPr>
                <w:ilvl w:val="0"/>
                <w:numId w:val="4"/>
              </w:numPr>
            </w:pPr>
            <w:r>
              <w:t xml:space="preserve">Removes the need for MCOs and LDSS to maintain CF RR/E </w:t>
            </w:r>
            <w:r w:rsidR="00F53018">
              <w:t>codes</w:t>
            </w:r>
          </w:p>
          <w:p w14:paraId="5CD48A7A" w14:textId="0E9663CD" w:rsidR="00EC29BA" w:rsidRPr="00ED4DD4" w:rsidRDefault="00F53018" w:rsidP="004E2D27">
            <w:pPr>
              <w:pStyle w:val="ListParagraph"/>
              <w:numPr>
                <w:ilvl w:val="0"/>
                <w:numId w:val="4"/>
              </w:numPr>
            </w:pPr>
            <w:r>
              <w:t xml:space="preserve">A </w:t>
            </w:r>
            <w:r w:rsidR="005176E0">
              <w:t>system-based</w:t>
            </w:r>
            <w:r>
              <w:t xml:space="preserve"> solution removes the opportunity for </w:t>
            </w:r>
            <w:r w:rsidR="007A38AD">
              <w:t>missed claiming of eligible enhanced FMAP due to failure to follow manual process steps</w:t>
            </w:r>
          </w:p>
        </w:tc>
        <w:tc>
          <w:tcPr>
            <w:tcW w:w="2515" w:type="dxa"/>
          </w:tcPr>
          <w:p w14:paraId="4A9F0064" w14:textId="1E92F223" w:rsidR="00EC29BA" w:rsidRDefault="00B46135" w:rsidP="00EA5863">
            <w:pPr>
              <w:pStyle w:val="ListParagraph"/>
              <w:numPr>
                <w:ilvl w:val="0"/>
                <w:numId w:val="4"/>
              </w:numPr>
            </w:pPr>
            <w:r>
              <w:t>1 NYSTEC FTE</w:t>
            </w:r>
            <w:r w:rsidR="00312D12">
              <w:t xml:space="preserve"> </w:t>
            </w:r>
            <w:r w:rsidR="00AF76FE">
              <w:t>to support</w:t>
            </w:r>
            <w:r w:rsidR="00312D12">
              <w:t xml:space="preserve"> requiremen</w:t>
            </w:r>
            <w:r w:rsidR="00F75AB2">
              <w:t>ts definition</w:t>
            </w:r>
          </w:p>
          <w:p w14:paraId="60D160DB" w14:textId="173130A0" w:rsidR="00F75AB2" w:rsidRPr="00ED4DD4" w:rsidRDefault="00F75AB2" w:rsidP="00EA5863">
            <w:pPr>
              <w:pStyle w:val="ListParagraph"/>
              <w:numPr>
                <w:ilvl w:val="0"/>
                <w:numId w:val="4"/>
              </w:numPr>
            </w:pPr>
            <w:r>
              <w:t xml:space="preserve">Further analysis needed to calculate full </w:t>
            </w:r>
            <w:r w:rsidR="00FE3C41">
              <w:t>EP LOE</w:t>
            </w:r>
          </w:p>
        </w:tc>
      </w:tr>
    </w:tbl>
    <w:p w14:paraId="71ECFF5A" w14:textId="3163AAE7" w:rsidR="000C6868" w:rsidRDefault="000C6868">
      <w:pPr>
        <w:rPr>
          <w:sz w:val="26"/>
          <w:szCs w:val="26"/>
        </w:rPr>
      </w:pPr>
    </w:p>
    <w:p w14:paraId="57A03E8D" w14:textId="6AD0755B" w:rsidR="008D1880" w:rsidRPr="00ED4DD4" w:rsidRDefault="008D1880">
      <w:pPr>
        <w:rPr>
          <w:b/>
          <w:bCs/>
        </w:rPr>
      </w:pPr>
      <w:r w:rsidRPr="00ED4DD4">
        <w:rPr>
          <w:b/>
          <w:bCs/>
        </w:rPr>
        <w:t>Additional Supporting Documentation</w:t>
      </w:r>
    </w:p>
    <w:p w14:paraId="0AF6619C" w14:textId="77777777" w:rsidR="00AD1AB4" w:rsidRDefault="00AD1AB4">
      <w:pPr>
        <w:rPr>
          <w:sz w:val="26"/>
          <w:szCs w:val="26"/>
        </w:rPr>
      </w:pPr>
    </w:p>
    <w:p w14:paraId="5D54BC25" w14:textId="430C7780" w:rsidR="00DF7106" w:rsidRDefault="00D26B99">
      <w:r>
        <w:object w:dxaOrig="1485" w:dyaOrig="991" w14:anchorId="605AD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2" o:title=""/>
          </v:shape>
          <o:OLEObject Type="Embed" ProgID="Package" ShapeID="_x0000_i1025" DrawAspect="Icon" ObjectID="_1728291545" r:id="rId13"/>
        </w:object>
      </w:r>
    </w:p>
    <w:sectPr w:rsidR="00DF7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CDD8" w14:textId="77777777" w:rsidR="007C1133" w:rsidRDefault="007C1133" w:rsidP="00115DDC">
      <w:pPr>
        <w:spacing w:after="0" w:line="240" w:lineRule="auto"/>
      </w:pPr>
      <w:r>
        <w:separator/>
      </w:r>
    </w:p>
  </w:endnote>
  <w:endnote w:type="continuationSeparator" w:id="0">
    <w:p w14:paraId="7CDDF35B" w14:textId="77777777" w:rsidR="007C1133" w:rsidRDefault="007C1133" w:rsidP="00115DDC">
      <w:pPr>
        <w:spacing w:after="0" w:line="240" w:lineRule="auto"/>
      </w:pPr>
      <w:r>
        <w:continuationSeparator/>
      </w:r>
    </w:p>
  </w:endnote>
  <w:endnote w:type="continuationNotice" w:id="1">
    <w:p w14:paraId="1A1CCF79" w14:textId="77777777" w:rsidR="007C1133" w:rsidRDefault="007C11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E8F1" w14:textId="77777777" w:rsidR="007C1133" w:rsidRDefault="007C1133" w:rsidP="00115DDC">
      <w:pPr>
        <w:spacing w:after="0" w:line="240" w:lineRule="auto"/>
      </w:pPr>
      <w:r>
        <w:separator/>
      </w:r>
    </w:p>
  </w:footnote>
  <w:footnote w:type="continuationSeparator" w:id="0">
    <w:p w14:paraId="11BAF220" w14:textId="77777777" w:rsidR="007C1133" w:rsidRDefault="007C1133" w:rsidP="00115DDC">
      <w:pPr>
        <w:spacing w:after="0" w:line="240" w:lineRule="auto"/>
      </w:pPr>
      <w:r>
        <w:continuationSeparator/>
      </w:r>
    </w:p>
  </w:footnote>
  <w:footnote w:type="continuationNotice" w:id="1">
    <w:p w14:paraId="0B865047" w14:textId="77777777" w:rsidR="007C1133" w:rsidRDefault="007C1133">
      <w:pPr>
        <w:spacing w:after="0" w:line="240" w:lineRule="auto"/>
      </w:pPr>
    </w:p>
  </w:footnote>
  <w:footnote w:id="2">
    <w:p w14:paraId="7BAF3BE3" w14:textId="77777777" w:rsidR="00DE675B" w:rsidRDefault="00DE675B" w:rsidP="00DE675B">
      <w:pPr>
        <w:pStyle w:val="FootnoteText"/>
      </w:pPr>
      <w:r>
        <w:rPr>
          <w:rStyle w:val="FootnoteReference"/>
        </w:rPr>
        <w:footnoteRef/>
      </w:r>
      <w:r>
        <w:t xml:space="preserve"> Count is based on identifying CFCO eligible members based on eMedNY, MDW and UAS-NY CHA data who did not have an active CF or CO RR/E code in the calendar year.</w:t>
      </w:r>
    </w:p>
  </w:footnote>
  <w:footnote w:id="3">
    <w:p w14:paraId="0C995B52" w14:textId="77777777" w:rsidR="00DE675B" w:rsidRDefault="00DE675B" w:rsidP="00DE675B">
      <w:pPr>
        <w:pStyle w:val="FootnoteText"/>
      </w:pPr>
      <w:r>
        <w:rPr>
          <w:rStyle w:val="FootnoteReference"/>
        </w:rPr>
        <w:footnoteRef/>
      </w:r>
      <w:r>
        <w:t xml:space="preserve"> CFCO service costs are based on actual utilization of CFCO services (Personal Care, CDPAS, Home Health Aide, PERS and NEMT) in the calendar year for individuals identified as potentially CFCO eligible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4B6"/>
    <w:multiLevelType w:val="hybridMultilevel"/>
    <w:tmpl w:val="3C26C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95EED"/>
    <w:multiLevelType w:val="hybridMultilevel"/>
    <w:tmpl w:val="94A88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47A99"/>
    <w:multiLevelType w:val="hybridMultilevel"/>
    <w:tmpl w:val="C2CC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E10AAC"/>
    <w:multiLevelType w:val="hybridMultilevel"/>
    <w:tmpl w:val="46C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D002F"/>
    <w:multiLevelType w:val="hybridMultilevel"/>
    <w:tmpl w:val="FFFFFFFF"/>
    <w:lvl w:ilvl="0" w:tplc="41D4F34C">
      <w:start w:val="1"/>
      <w:numFmt w:val="bullet"/>
      <w:lvlText w:val=""/>
      <w:lvlJc w:val="left"/>
      <w:pPr>
        <w:ind w:left="720" w:hanging="360"/>
      </w:pPr>
      <w:rPr>
        <w:rFonts w:ascii="Symbol" w:hAnsi="Symbol" w:hint="default"/>
      </w:rPr>
    </w:lvl>
    <w:lvl w:ilvl="1" w:tplc="2C865F06">
      <w:start w:val="1"/>
      <w:numFmt w:val="bullet"/>
      <w:lvlText w:val="o"/>
      <w:lvlJc w:val="left"/>
      <w:pPr>
        <w:ind w:left="1440" w:hanging="360"/>
      </w:pPr>
      <w:rPr>
        <w:rFonts w:ascii="Courier New" w:hAnsi="Courier New" w:hint="default"/>
      </w:rPr>
    </w:lvl>
    <w:lvl w:ilvl="2" w:tplc="F64ED58E">
      <w:start w:val="1"/>
      <w:numFmt w:val="bullet"/>
      <w:lvlText w:val=""/>
      <w:lvlJc w:val="left"/>
      <w:pPr>
        <w:ind w:left="2160" w:hanging="360"/>
      </w:pPr>
      <w:rPr>
        <w:rFonts w:ascii="Wingdings" w:hAnsi="Wingdings" w:hint="default"/>
      </w:rPr>
    </w:lvl>
    <w:lvl w:ilvl="3" w:tplc="33F4A0BE">
      <w:start w:val="1"/>
      <w:numFmt w:val="bullet"/>
      <w:lvlText w:val=""/>
      <w:lvlJc w:val="left"/>
      <w:pPr>
        <w:ind w:left="2880" w:hanging="360"/>
      </w:pPr>
      <w:rPr>
        <w:rFonts w:ascii="Symbol" w:hAnsi="Symbol" w:hint="default"/>
      </w:rPr>
    </w:lvl>
    <w:lvl w:ilvl="4" w:tplc="40E62D44">
      <w:start w:val="1"/>
      <w:numFmt w:val="bullet"/>
      <w:lvlText w:val="o"/>
      <w:lvlJc w:val="left"/>
      <w:pPr>
        <w:ind w:left="3600" w:hanging="360"/>
      </w:pPr>
      <w:rPr>
        <w:rFonts w:ascii="Courier New" w:hAnsi="Courier New" w:hint="default"/>
      </w:rPr>
    </w:lvl>
    <w:lvl w:ilvl="5" w:tplc="03DC6D88">
      <w:start w:val="1"/>
      <w:numFmt w:val="bullet"/>
      <w:lvlText w:val=""/>
      <w:lvlJc w:val="left"/>
      <w:pPr>
        <w:ind w:left="4320" w:hanging="360"/>
      </w:pPr>
      <w:rPr>
        <w:rFonts w:ascii="Wingdings" w:hAnsi="Wingdings" w:hint="default"/>
      </w:rPr>
    </w:lvl>
    <w:lvl w:ilvl="6" w:tplc="64C8A188">
      <w:start w:val="1"/>
      <w:numFmt w:val="bullet"/>
      <w:lvlText w:val=""/>
      <w:lvlJc w:val="left"/>
      <w:pPr>
        <w:ind w:left="5040" w:hanging="360"/>
      </w:pPr>
      <w:rPr>
        <w:rFonts w:ascii="Symbol" w:hAnsi="Symbol" w:hint="default"/>
      </w:rPr>
    </w:lvl>
    <w:lvl w:ilvl="7" w:tplc="74742668">
      <w:start w:val="1"/>
      <w:numFmt w:val="bullet"/>
      <w:lvlText w:val="o"/>
      <w:lvlJc w:val="left"/>
      <w:pPr>
        <w:ind w:left="5760" w:hanging="360"/>
      </w:pPr>
      <w:rPr>
        <w:rFonts w:ascii="Courier New" w:hAnsi="Courier New" w:hint="default"/>
      </w:rPr>
    </w:lvl>
    <w:lvl w:ilvl="8" w:tplc="E898C530">
      <w:start w:val="1"/>
      <w:numFmt w:val="bullet"/>
      <w:lvlText w:val=""/>
      <w:lvlJc w:val="left"/>
      <w:pPr>
        <w:ind w:left="6480" w:hanging="360"/>
      </w:pPr>
      <w:rPr>
        <w:rFonts w:ascii="Wingdings" w:hAnsi="Wingdings" w:hint="default"/>
      </w:rPr>
    </w:lvl>
  </w:abstractNum>
  <w:num w:numId="1" w16cid:durableId="1976643407">
    <w:abstractNumId w:val="0"/>
  </w:num>
  <w:num w:numId="2" w16cid:durableId="1363558555">
    <w:abstractNumId w:val="4"/>
  </w:num>
  <w:num w:numId="3" w16cid:durableId="878979680">
    <w:abstractNumId w:val="3"/>
  </w:num>
  <w:num w:numId="4" w16cid:durableId="1398085978">
    <w:abstractNumId w:val="2"/>
  </w:num>
  <w:num w:numId="5" w16cid:durableId="135561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76"/>
    <w:rsid w:val="000017DB"/>
    <w:rsid w:val="00003594"/>
    <w:rsid w:val="000534DF"/>
    <w:rsid w:val="00060341"/>
    <w:rsid w:val="00066CE6"/>
    <w:rsid w:val="00077C98"/>
    <w:rsid w:val="00091F3B"/>
    <w:rsid w:val="00092015"/>
    <w:rsid w:val="000A316F"/>
    <w:rsid w:val="000A32FD"/>
    <w:rsid w:val="000B4CA9"/>
    <w:rsid w:val="000C6868"/>
    <w:rsid w:val="000E2D20"/>
    <w:rsid w:val="000E428C"/>
    <w:rsid w:val="000F3D83"/>
    <w:rsid w:val="000F78DA"/>
    <w:rsid w:val="00110BB4"/>
    <w:rsid w:val="001128D4"/>
    <w:rsid w:val="00115DDC"/>
    <w:rsid w:val="001276D1"/>
    <w:rsid w:val="001466B7"/>
    <w:rsid w:val="001655C5"/>
    <w:rsid w:val="00171C76"/>
    <w:rsid w:val="001B3BE5"/>
    <w:rsid w:val="001C1322"/>
    <w:rsid w:val="001C5F92"/>
    <w:rsid w:val="001C6DEC"/>
    <w:rsid w:val="001E03ED"/>
    <w:rsid w:val="00202475"/>
    <w:rsid w:val="00231B5A"/>
    <w:rsid w:val="002A20F2"/>
    <w:rsid w:val="002C0D47"/>
    <w:rsid w:val="002D0577"/>
    <w:rsid w:val="002D4875"/>
    <w:rsid w:val="002D7AEC"/>
    <w:rsid w:val="002F3B1C"/>
    <w:rsid w:val="002F4A64"/>
    <w:rsid w:val="00302721"/>
    <w:rsid w:val="00302A10"/>
    <w:rsid w:val="00302EB2"/>
    <w:rsid w:val="003055B8"/>
    <w:rsid w:val="00312D12"/>
    <w:rsid w:val="003249A5"/>
    <w:rsid w:val="00342617"/>
    <w:rsid w:val="003543F3"/>
    <w:rsid w:val="00354B57"/>
    <w:rsid w:val="00386ECE"/>
    <w:rsid w:val="003B2E24"/>
    <w:rsid w:val="003B6088"/>
    <w:rsid w:val="003D065C"/>
    <w:rsid w:val="003E3EE8"/>
    <w:rsid w:val="003F2097"/>
    <w:rsid w:val="004304A3"/>
    <w:rsid w:val="0043186E"/>
    <w:rsid w:val="004606A0"/>
    <w:rsid w:val="00462393"/>
    <w:rsid w:val="004774B7"/>
    <w:rsid w:val="00481424"/>
    <w:rsid w:val="00486F70"/>
    <w:rsid w:val="00493FF7"/>
    <w:rsid w:val="00494930"/>
    <w:rsid w:val="004A51EB"/>
    <w:rsid w:val="004B0049"/>
    <w:rsid w:val="004C37D4"/>
    <w:rsid w:val="004D04CF"/>
    <w:rsid w:val="004D3D29"/>
    <w:rsid w:val="004D7A19"/>
    <w:rsid w:val="004E0AB5"/>
    <w:rsid w:val="004E2D27"/>
    <w:rsid w:val="00500CA5"/>
    <w:rsid w:val="005176E0"/>
    <w:rsid w:val="00555CF0"/>
    <w:rsid w:val="00556F56"/>
    <w:rsid w:val="0056252F"/>
    <w:rsid w:val="00573091"/>
    <w:rsid w:val="005734F3"/>
    <w:rsid w:val="005A007B"/>
    <w:rsid w:val="005B4A57"/>
    <w:rsid w:val="005C0D8D"/>
    <w:rsid w:val="005D143B"/>
    <w:rsid w:val="005F407F"/>
    <w:rsid w:val="00632CFB"/>
    <w:rsid w:val="00653203"/>
    <w:rsid w:val="00661026"/>
    <w:rsid w:val="0066738D"/>
    <w:rsid w:val="006846D8"/>
    <w:rsid w:val="006C5EE1"/>
    <w:rsid w:val="006C6F04"/>
    <w:rsid w:val="006D6B95"/>
    <w:rsid w:val="006E05B9"/>
    <w:rsid w:val="006E59C1"/>
    <w:rsid w:val="006F7742"/>
    <w:rsid w:val="00704834"/>
    <w:rsid w:val="00723EA4"/>
    <w:rsid w:val="007431D7"/>
    <w:rsid w:val="00755672"/>
    <w:rsid w:val="00775D57"/>
    <w:rsid w:val="0078524C"/>
    <w:rsid w:val="0079572D"/>
    <w:rsid w:val="00796621"/>
    <w:rsid w:val="007A0624"/>
    <w:rsid w:val="007A38AD"/>
    <w:rsid w:val="007A3A8A"/>
    <w:rsid w:val="007A4425"/>
    <w:rsid w:val="007B4D46"/>
    <w:rsid w:val="007B631C"/>
    <w:rsid w:val="007C1133"/>
    <w:rsid w:val="007C3A26"/>
    <w:rsid w:val="007C4DCB"/>
    <w:rsid w:val="007D290F"/>
    <w:rsid w:val="007E21E7"/>
    <w:rsid w:val="007E6563"/>
    <w:rsid w:val="008058BA"/>
    <w:rsid w:val="00811BE8"/>
    <w:rsid w:val="00821357"/>
    <w:rsid w:val="00837F74"/>
    <w:rsid w:val="00844FA5"/>
    <w:rsid w:val="008469D9"/>
    <w:rsid w:val="008501FC"/>
    <w:rsid w:val="008560C3"/>
    <w:rsid w:val="00860FC2"/>
    <w:rsid w:val="00870222"/>
    <w:rsid w:val="0088114F"/>
    <w:rsid w:val="00891D9E"/>
    <w:rsid w:val="00894C71"/>
    <w:rsid w:val="00897426"/>
    <w:rsid w:val="008B15C0"/>
    <w:rsid w:val="008C620F"/>
    <w:rsid w:val="008D1880"/>
    <w:rsid w:val="008F033C"/>
    <w:rsid w:val="008F27E6"/>
    <w:rsid w:val="008F4EB3"/>
    <w:rsid w:val="00902420"/>
    <w:rsid w:val="009056EF"/>
    <w:rsid w:val="0092188E"/>
    <w:rsid w:val="00922E38"/>
    <w:rsid w:val="00972BCD"/>
    <w:rsid w:val="00975708"/>
    <w:rsid w:val="009840A8"/>
    <w:rsid w:val="00984346"/>
    <w:rsid w:val="009937D5"/>
    <w:rsid w:val="0099689D"/>
    <w:rsid w:val="009A0B9F"/>
    <w:rsid w:val="009B2F97"/>
    <w:rsid w:val="009B3C8A"/>
    <w:rsid w:val="009B6079"/>
    <w:rsid w:val="009C3B2A"/>
    <w:rsid w:val="009E66F9"/>
    <w:rsid w:val="00A05EC9"/>
    <w:rsid w:val="00A17ABC"/>
    <w:rsid w:val="00A278CE"/>
    <w:rsid w:val="00A3332D"/>
    <w:rsid w:val="00A37507"/>
    <w:rsid w:val="00A57830"/>
    <w:rsid w:val="00A66684"/>
    <w:rsid w:val="00A77101"/>
    <w:rsid w:val="00A80F8C"/>
    <w:rsid w:val="00A81A56"/>
    <w:rsid w:val="00AA0F14"/>
    <w:rsid w:val="00AC2084"/>
    <w:rsid w:val="00AD1AB4"/>
    <w:rsid w:val="00AE34A8"/>
    <w:rsid w:val="00AF0E0B"/>
    <w:rsid w:val="00AF76FE"/>
    <w:rsid w:val="00B03A4C"/>
    <w:rsid w:val="00B33F46"/>
    <w:rsid w:val="00B400BA"/>
    <w:rsid w:val="00B452DC"/>
    <w:rsid w:val="00B46135"/>
    <w:rsid w:val="00B60C42"/>
    <w:rsid w:val="00B760C2"/>
    <w:rsid w:val="00B84D7C"/>
    <w:rsid w:val="00B86971"/>
    <w:rsid w:val="00B918E1"/>
    <w:rsid w:val="00B926BA"/>
    <w:rsid w:val="00BD6A6A"/>
    <w:rsid w:val="00BF5500"/>
    <w:rsid w:val="00C150E0"/>
    <w:rsid w:val="00C179C9"/>
    <w:rsid w:val="00C320A9"/>
    <w:rsid w:val="00C43D9A"/>
    <w:rsid w:val="00C53229"/>
    <w:rsid w:val="00C700B9"/>
    <w:rsid w:val="00C925A7"/>
    <w:rsid w:val="00CA6588"/>
    <w:rsid w:val="00CB31B1"/>
    <w:rsid w:val="00CB41AA"/>
    <w:rsid w:val="00CB7578"/>
    <w:rsid w:val="00CC17EC"/>
    <w:rsid w:val="00CD532D"/>
    <w:rsid w:val="00CF2101"/>
    <w:rsid w:val="00CF40BA"/>
    <w:rsid w:val="00CF4576"/>
    <w:rsid w:val="00CF54E1"/>
    <w:rsid w:val="00CF5980"/>
    <w:rsid w:val="00D04A24"/>
    <w:rsid w:val="00D2168C"/>
    <w:rsid w:val="00D26AB9"/>
    <w:rsid w:val="00D26B99"/>
    <w:rsid w:val="00D27A07"/>
    <w:rsid w:val="00D42D20"/>
    <w:rsid w:val="00D45B1B"/>
    <w:rsid w:val="00D45D45"/>
    <w:rsid w:val="00D5376A"/>
    <w:rsid w:val="00D63D1B"/>
    <w:rsid w:val="00D65791"/>
    <w:rsid w:val="00D763F8"/>
    <w:rsid w:val="00D94DA1"/>
    <w:rsid w:val="00DB380F"/>
    <w:rsid w:val="00DC07B4"/>
    <w:rsid w:val="00DC463E"/>
    <w:rsid w:val="00DD592B"/>
    <w:rsid w:val="00DE2CAA"/>
    <w:rsid w:val="00DE675B"/>
    <w:rsid w:val="00DF6A5C"/>
    <w:rsid w:val="00DF7106"/>
    <w:rsid w:val="00E050EF"/>
    <w:rsid w:val="00E24450"/>
    <w:rsid w:val="00E263C6"/>
    <w:rsid w:val="00E537F3"/>
    <w:rsid w:val="00E572AF"/>
    <w:rsid w:val="00E800DB"/>
    <w:rsid w:val="00E90B00"/>
    <w:rsid w:val="00E9387C"/>
    <w:rsid w:val="00EA1E7E"/>
    <w:rsid w:val="00EA5863"/>
    <w:rsid w:val="00EC29BA"/>
    <w:rsid w:val="00ED4DD4"/>
    <w:rsid w:val="00ED5074"/>
    <w:rsid w:val="00F00DF3"/>
    <w:rsid w:val="00F14EB7"/>
    <w:rsid w:val="00F229A8"/>
    <w:rsid w:val="00F53018"/>
    <w:rsid w:val="00F6405A"/>
    <w:rsid w:val="00F75AB2"/>
    <w:rsid w:val="00F8726C"/>
    <w:rsid w:val="00F9471B"/>
    <w:rsid w:val="00FB6E95"/>
    <w:rsid w:val="00FC0331"/>
    <w:rsid w:val="00FD09F6"/>
    <w:rsid w:val="00FD647C"/>
    <w:rsid w:val="00FD6E38"/>
    <w:rsid w:val="00FE3C41"/>
    <w:rsid w:val="16E1AD50"/>
    <w:rsid w:val="331E8713"/>
    <w:rsid w:val="35776572"/>
    <w:rsid w:val="3FEBB3DB"/>
    <w:rsid w:val="402B7351"/>
    <w:rsid w:val="445D6902"/>
    <w:rsid w:val="4CF64F2F"/>
    <w:rsid w:val="5CD460C3"/>
    <w:rsid w:val="62DCA55E"/>
    <w:rsid w:val="6A33B95E"/>
    <w:rsid w:val="734B2F3E"/>
    <w:rsid w:val="76A8DF5A"/>
    <w:rsid w:val="7D3C7CFC"/>
    <w:rsid w:val="7E408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F283"/>
  <w15:chartTrackingRefBased/>
  <w15:docId w15:val="{2B73EA5D-DA61-42CE-8BA1-AE01C073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01"/>
    <w:pPr>
      <w:ind w:left="720"/>
      <w:contextualSpacing/>
    </w:pPr>
  </w:style>
  <w:style w:type="paragraph" w:styleId="Revision">
    <w:name w:val="Revision"/>
    <w:hidden/>
    <w:uiPriority w:val="99"/>
    <w:semiHidden/>
    <w:rsid w:val="00A05EC9"/>
    <w:pPr>
      <w:spacing w:after="0" w:line="240" w:lineRule="auto"/>
    </w:pPr>
  </w:style>
  <w:style w:type="paragraph" w:styleId="Header">
    <w:name w:val="header"/>
    <w:basedOn w:val="Normal"/>
    <w:link w:val="HeaderChar"/>
    <w:uiPriority w:val="99"/>
    <w:unhideWhenUsed/>
    <w:rsid w:val="00115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DC"/>
  </w:style>
  <w:style w:type="paragraph" w:styleId="Footer">
    <w:name w:val="footer"/>
    <w:basedOn w:val="Normal"/>
    <w:link w:val="FooterChar"/>
    <w:uiPriority w:val="99"/>
    <w:unhideWhenUsed/>
    <w:rsid w:val="00115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DC"/>
  </w:style>
  <w:style w:type="character" w:styleId="CommentReference">
    <w:name w:val="annotation reference"/>
    <w:basedOn w:val="DefaultParagraphFont"/>
    <w:uiPriority w:val="99"/>
    <w:semiHidden/>
    <w:unhideWhenUsed/>
    <w:rsid w:val="00494930"/>
    <w:rPr>
      <w:sz w:val="16"/>
      <w:szCs w:val="16"/>
    </w:rPr>
  </w:style>
  <w:style w:type="paragraph" w:styleId="CommentText">
    <w:name w:val="annotation text"/>
    <w:basedOn w:val="Normal"/>
    <w:link w:val="CommentTextChar"/>
    <w:uiPriority w:val="99"/>
    <w:unhideWhenUsed/>
    <w:rsid w:val="00494930"/>
    <w:pPr>
      <w:spacing w:line="240" w:lineRule="auto"/>
    </w:pPr>
    <w:rPr>
      <w:sz w:val="20"/>
      <w:szCs w:val="20"/>
    </w:rPr>
  </w:style>
  <w:style w:type="character" w:customStyle="1" w:styleId="CommentTextChar">
    <w:name w:val="Comment Text Char"/>
    <w:basedOn w:val="DefaultParagraphFont"/>
    <w:link w:val="CommentText"/>
    <w:uiPriority w:val="99"/>
    <w:rsid w:val="00494930"/>
    <w:rPr>
      <w:sz w:val="20"/>
      <w:szCs w:val="20"/>
    </w:rPr>
  </w:style>
  <w:style w:type="paragraph" w:styleId="CommentSubject">
    <w:name w:val="annotation subject"/>
    <w:basedOn w:val="CommentText"/>
    <w:next w:val="CommentText"/>
    <w:link w:val="CommentSubjectChar"/>
    <w:uiPriority w:val="99"/>
    <w:semiHidden/>
    <w:unhideWhenUsed/>
    <w:rsid w:val="00494930"/>
    <w:rPr>
      <w:b/>
      <w:bCs/>
    </w:rPr>
  </w:style>
  <w:style w:type="character" w:customStyle="1" w:styleId="CommentSubjectChar">
    <w:name w:val="Comment Subject Char"/>
    <w:basedOn w:val="CommentTextChar"/>
    <w:link w:val="CommentSubject"/>
    <w:uiPriority w:val="99"/>
    <w:semiHidden/>
    <w:rsid w:val="00494930"/>
    <w:rPr>
      <w:b/>
      <w:bCs/>
      <w:sz w:val="20"/>
      <w:szCs w:val="20"/>
    </w:rPr>
  </w:style>
  <w:style w:type="table" w:styleId="TableGrid">
    <w:name w:val="Table Grid"/>
    <w:basedOn w:val="TableNormal"/>
    <w:uiPriority w:val="39"/>
    <w:rsid w:val="00CB3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63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3F8"/>
    <w:rPr>
      <w:sz w:val="20"/>
      <w:szCs w:val="20"/>
    </w:rPr>
  </w:style>
  <w:style w:type="character" w:styleId="FootnoteReference">
    <w:name w:val="footnote reference"/>
    <w:basedOn w:val="DefaultParagraphFont"/>
    <w:uiPriority w:val="99"/>
    <w:semiHidden/>
    <w:unhideWhenUsed/>
    <w:rsid w:val="00D763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5966">
      <w:bodyDiv w:val="1"/>
      <w:marLeft w:val="0"/>
      <w:marRight w:val="0"/>
      <w:marTop w:val="0"/>
      <w:marBottom w:val="0"/>
      <w:divBdr>
        <w:top w:val="none" w:sz="0" w:space="0" w:color="auto"/>
        <w:left w:val="none" w:sz="0" w:space="0" w:color="auto"/>
        <w:bottom w:val="none" w:sz="0" w:space="0" w:color="auto"/>
        <w:right w:val="none" w:sz="0" w:space="0" w:color="auto"/>
      </w:divBdr>
    </w:div>
    <w:div w:id="1256406259">
      <w:bodyDiv w:val="1"/>
      <w:marLeft w:val="0"/>
      <w:marRight w:val="0"/>
      <w:marTop w:val="0"/>
      <w:marBottom w:val="0"/>
      <w:divBdr>
        <w:top w:val="none" w:sz="0" w:space="0" w:color="auto"/>
        <w:left w:val="none" w:sz="0" w:space="0" w:color="auto"/>
        <w:bottom w:val="none" w:sz="0" w:space="0" w:color="auto"/>
        <w:right w:val="none" w:sz="0" w:space="0" w:color="auto"/>
      </w:divBdr>
    </w:div>
    <w:div w:id="1412432200">
      <w:bodyDiv w:val="1"/>
      <w:marLeft w:val="0"/>
      <w:marRight w:val="0"/>
      <w:marTop w:val="0"/>
      <w:marBottom w:val="0"/>
      <w:divBdr>
        <w:top w:val="none" w:sz="0" w:space="0" w:color="auto"/>
        <w:left w:val="none" w:sz="0" w:space="0" w:color="auto"/>
        <w:bottom w:val="none" w:sz="0" w:space="0" w:color="auto"/>
        <w:right w:val="none" w:sz="0" w:space="0" w:color="auto"/>
      </w:divBdr>
    </w:div>
    <w:div w:id="19229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07850DC9E9449B2C17D71E6AB2040" ma:contentTypeVersion="5" ma:contentTypeDescription="Create a new document." ma:contentTypeScope="" ma:versionID="1c1bf15eb65c0007b8527eb1fa1e07de">
  <xsd:schema xmlns:xsd="http://www.w3.org/2001/XMLSchema" xmlns:xs="http://www.w3.org/2001/XMLSchema" xmlns:p="http://schemas.microsoft.com/office/2006/metadata/properties" xmlns:ns2="2d3f30ac-19ba-4eca-8860-3b736ddb55d6" xmlns:ns3="fb8529d6-23c4-4aca-ad7d-122f1ab60e60" targetNamespace="http://schemas.microsoft.com/office/2006/metadata/properties" ma:root="true" ma:fieldsID="62daa313d1ab66d5e7437045538d639f" ns2:_="" ns3:_="">
    <xsd:import namespace="2d3f30ac-19ba-4eca-8860-3b736ddb55d6"/>
    <xsd:import namespace="fb8529d6-23c4-4aca-ad7d-122f1ab60e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f30ac-19ba-4eca-8860-3b736ddb5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529d6-23c4-4aca-ad7d-122f1ab60e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b8529d6-23c4-4aca-ad7d-122f1ab60e60">
      <UserInfo>
        <DisplayName>Isaac Lutz</DisplayName>
        <AccountId>110</AccountId>
        <AccountType/>
      </UserInfo>
      <UserInfo>
        <DisplayName>Sarah Goff</DisplayName>
        <AccountId>326</AccountId>
        <AccountType/>
      </UserInfo>
      <UserInfo>
        <DisplayName>Matthew St. Pierre</DisplayName>
        <AccountId>1378</AccountId>
        <AccountType/>
      </UserInfo>
      <UserInfo>
        <DisplayName>Nathan Stengrevics</DisplayName>
        <AccountId>307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41946-D3E1-4BB8-9B21-751032CC9C8E}"/>
</file>

<file path=customXml/itemProps2.xml><?xml version="1.0" encoding="utf-8"?>
<ds:datastoreItem xmlns:ds="http://schemas.openxmlformats.org/officeDocument/2006/customXml" ds:itemID="{DAF66F47-B3C7-4445-A6FF-97E098C0DE2B}">
  <ds:schemaRefs>
    <ds:schemaRef ds:uri="http://schemas.openxmlformats.org/officeDocument/2006/bibliography"/>
  </ds:schemaRefs>
</ds:datastoreItem>
</file>

<file path=customXml/itemProps3.xml><?xml version="1.0" encoding="utf-8"?>
<ds:datastoreItem xmlns:ds="http://schemas.openxmlformats.org/officeDocument/2006/customXml" ds:itemID="{D1170148-02A4-452D-BBAB-7CD5EA41849B}">
  <ds:schemaRefs>
    <ds:schemaRef ds:uri="http://schemas.microsoft.com/office/2006/metadata/properties"/>
    <ds:schemaRef ds:uri="http://schemas.microsoft.com/office/infopath/2007/PartnerControls"/>
    <ds:schemaRef ds:uri="23c33687-3566-4a3f-8e35-709999677823"/>
    <ds:schemaRef ds:uri="21cfac5d-a956-43e7-ba5a-c6f772bf0e51"/>
  </ds:schemaRefs>
</ds:datastoreItem>
</file>

<file path=customXml/itemProps4.xml><?xml version="1.0" encoding="utf-8"?>
<ds:datastoreItem xmlns:ds="http://schemas.openxmlformats.org/officeDocument/2006/customXml" ds:itemID="{E3C17333-4552-49B5-AE19-ECFAE1617DFC}"/>
</file>

<file path=docProps/app.xml><?xml version="1.0" encoding="utf-8"?>
<Properties xmlns="http://schemas.openxmlformats.org/officeDocument/2006/extended-properties" xmlns:vt="http://schemas.openxmlformats.org/officeDocument/2006/docPropsVTypes">
  <Template>Normal.dotm</Template>
  <TotalTime>1994</TotalTime>
  <Pages>1</Pages>
  <Words>704</Words>
  <Characters>4018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LaMarche</dc:creator>
  <cp:keywords/>
  <dc:description/>
  <cp:lastModifiedBy>Michael LaMarche</cp:lastModifiedBy>
  <cp:revision>183</cp:revision>
  <dcterms:created xsi:type="dcterms:W3CDTF">2022-09-27T19:42:00Z</dcterms:created>
  <dcterms:modified xsi:type="dcterms:W3CDTF">2022-10-26T22:13:00Z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0x01010095607850DC9E9449B2C17D71E6AB2040</vt:lpwstr>
  </property>
</Properties>
</file>