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Instructor:  </w:t>
      </w:r>
      <w:proofErr w:type="spellStart"/>
      <w:r w:rsidRPr="006C386A">
        <w:rPr>
          <w:rFonts w:ascii="Times New Roman" w:hAnsi="Times New Roman"/>
          <w:sz w:val="24"/>
          <w:szCs w:val="24"/>
        </w:rPr>
        <w:t>Enping</w:t>
      </w:r>
      <w:proofErr w:type="spellEnd"/>
      <w:r w:rsidRPr="006C386A">
        <w:rPr>
          <w:rFonts w:ascii="Times New Roman" w:hAnsi="Times New Roman"/>
          <w:sz w:val="24"/>
          <w:szCs w:val="24"/>
        </w:rPr>
        <w:t xml:space="preserve">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49450C8F"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0-11:</w:t>
      </w:r>
      <w:r w:rsidR="008978C3">
        <w:rPr>
          <w:rFonts w:ascii="Times New Roman" w:hAnsi="Times New Roman"/>
          <w:sz w:val="24"/>
          <w:szCs w:val="24"/>
        </w:rPr>
        <w:t>0</w:t>
      </w:r>
      <w:r w:rsidR="008A1AA9" w:rsidRPr="008A1AA9">
        <w:rPr>
          <w:rFonts w:ascii="Times New Roman" w:hAnsi="Times New Roman"/>
          <w:sz w:val="24"/>
          <w:szCs w:val="24"/>
        </w:rPr>
        <w:t>0</w:t>
      </w:r>
      <w:r w:rsidR="008978C3">
        <w:rPr>
          <w:rFonts w:ascii="Times New Roman" w:hAnsi="Times New Roman"/>
          <w:sz w:val="24"/>
          <w:szCs w:val="24"/>
        </w:rPr>
        <w:t xml:space="preserve"> Via Microsoft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77777777"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Prerequisite Requirements:</w:t>
      </w:r>
    </w:p>
    <w:p w14:paraId="44589D24" w14:textId="77777777"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0, completed with a grade of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08FE5F0A"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textbook: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proofErr w:type="spellStart"/>
      <w:r w:rsidR="00DB3EA2" w:rsidRPr="00DB3EA2">
        <w:rPr>
          <w:rFonts w:ascii="Times New Roman" w:hAnsi="Times New Roman"/>
          <w:sz w:val="24"/>
          <w:szCs w:val="24"/>
        </w:rPr>
        <w:t>Chwan</w:t>
      </w:r>
      <w:proofErr w:type="spellEnd"/>
      <w:r w:rsidR="00DB3EA2" w:rsidRPr="00DB3EA2">
        <w:rPr>
          <w:rFonts w:ascii="Times New Roman" w:hAnsi="Times New Roman"/>
          <w:sz w:val="24"/>
          <w:szCs w:val="24"/>
        </w:rPr>
        <w:t>-Hwa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 xml:space="preserve">CRC </w:t>
      </w:r>
      <w:proofErr w:type="gramStart"/>
      <w:r w:rsidR="00DB3EA2" w:rsidRPr="00DB3EA2">
        <w:rPr>
          <w:rFonts w:ascii="Times New Roman" w:hAnsi="Times New Roman"/>
          <w:sz w:val="24"/>
          <w:szCs w:val="24"/>
        </w:rPr>
        <w:t>Press </w:t>
      </w:r>
      <w:r w:rsidR="00AB3013" w:rsidRPr="00DB3EA2">
        <w:rPr>
          <w:rFonts w:ascii="Times New Roman" w:hAnsi="Times New Roman"/>
          <w:sz w:val="24"/>
          <w:szCs w:val="24"/>
        </w:rPr>
        <w:t>,</w:t>
      </w:r>
      <w:proofErr w:type="gramEnd"/>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proofErr w:type="spellStart"/>
        <w:r w:rsidR="00DB3EA2" w:rsidRPr="00DB3EA2">
          <w:rPr>
            <w:rFonts w:ascii="Times New Roman" w:hAnsi="Times New Roman"/>
            <w:sz w:val="24"/>
            <w:szCs w:val="24"/>
          </w:rPr>
          <w:t>Bongsik</w:t>
        </w:r>
        <w:proofErr w:type="spellEnd"/>
        <w:r w:rsidR="00DB3EA2" w:rsidRPr="00DB3EA2">
          <w:rPr>
            <w:rFonts w:ascii="Times New Roman" w:hAnsi="Times New Roman"/>
            <w:sz w:val="24"/>
            <w:szCs w:val="24"/>
          </w:rPr>
          <w:t xml:space="preserve">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able to:</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1FAB1203"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r w:rsidR="00EB7E3E">
        <w:rPr>
          <w:rFonts w:ascii="Times New Roman" w:hAnsi="Times New Roman"/>
          <w:sz w:val="24"/>
          <w:szCs w:val="24"/>
        </w:rPr>
        <w:t>analyzing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344D643"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be given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4545110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933DBBF"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90-100: A (90-92: A-, 93-100: </w:t>
      </w:r>
      <w:proofErr w:type="gramStart"/>
      <w:r>
        <w:rPr>
          <w:rFonts w:ascii="Times New Roman" w:eastAsia="Times New Roman" w:hAnsi="Times New Roman" w:cs="Times New Roman"/>
          <w:szCs w:val="24"/>
          <w:bdr w:val="none" w:sz="0" w:space="0" w:color="auto" w:frame="1"/>
        </w:rPr>
        <w:t>A )</w:t>
      </w:r>
      <w:proofErr w:type="gramEnd"/>
    </w:p>
    <w:p w14:paraId="77EF56D0"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w:t>
      </w:r>
      <w:proofErr w:type="gramStart"/>
      <w:r>
        <w:rPr>
          <w:rFonts w:ascii="Times New Roman" w:eastAsia="Times New Roman" w:hAnsi="Times New Roman" w:cs="Times New Roman"/>
          <w:szCs w:val="24"/>
          <w:bdr w:val="none" w:sz="0" w:space="0" w:color="auto" w:frame="1"/>
        </w:rPr>
        <w:t>,  83</w:t>
      </w:r>
      <w:proofErr w:type="gramEnd"/>
      <w:r>
        <w:rPr>
          <w:rFonts w:ascii="Times New Roman" w:eastAsia="Times New Roman" w:hAnsi="Times New Roman" w:cs="Times New Roman"/>
          <w:szCs w:val="24"/>
          <w:bdr w:val="none" w:sz="0" w:space="0" w:color="auto" w:frame="1"/>
        </w:rPr>
        <w:t>-86: 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w:t>
      </w:r>
      <w:proofErr w:type="gramStart"/>
      <w:r>
        <w:rPr>
          <w:rFonts w:ascii="Times New Roman" w:eastAsia="Times New Roman" w:hAnsi="Times New Roman" w:cs="Times New Roman"/>
          <w:szCs w:val="24"/>
          <w:bdr w:val="none" w:sz="0" w:space="0" w:color="auto" w:frame="1"/>
        </w:rPr>
        <w:t>+ )</w:t>
      </w:r>
      <w:proofErr w:type="gramEnd"/>
    </w:p>
    <w:p w14:paraId="0C3A8168"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63-66: D, 67-69: D</w:t>
      </w:r>
      <w:proofErr w:type="gramStart"/>
      <w:r>
        <w:rPr>
          <w:rFonts w:ascii="Times New Roman" w:eastAsia="Times New Roman" w:hAnsi="Times New Roman" w:cs="Times New Roman"/>
          <w:szCs w:val="24"/>
          <w:bdr w:val="none" w:sz="0" w:space="0" w:color="auto" w:frame="1"/>
        </w:rPr>
        <w:t>+ )</w:t>
      </w:r>
      <w:proofErr w:type="gramEnd"/>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77777777"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Cyber security</w:t>
            </w:r>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Application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76FDE6F9"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Link and physical layers</w:t>
            </w:r>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w:t>
      </w:r>
      <w:proofErr w:type="gramStart"/>
      <w:r w:rsidRPr="001233B5">
        <w:rPr>
          <w:rFonts w:ascii="Times New Roman" w:eastAsia="Times New Roman" w:hAnsi="Times New Roman" w:cs="Times New Roman"/>
          <w:color w:val="auto"/>
          <w:sz w:val="24"/>
          <w:szCs w:val="24"/>
          <w:bdr w:val="none" w:sz="0" w:space="0" w:color="auto"/>
        </w:rPr>
        <w:t>computers, unless</w:t>
      </w:r>
      <w:proofErr w:type="gramEnd"/>
      <w:r w:rsidRPr="001233B5">
        <w:rPr>
          <w:rFonts w:ascii="Times New Roman" w:eastAsia="Times New Roman" w:hAnsi="Times New Roman" w:cs="Times New Roman"/>
          <w:color w:val="auto"/>
          <w:sz w:val="24"/>
          <w:szCs w:val="24"/>
          <w:bdr w:val="none" w:sz="0" w:space="0" w:color="auto"/>
        </w:rPr>
        <w:t xml:space="preserve">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040FA" w14:textId="77777777" w:rsidR="000D2E62" w:rsidRDefault="000D2E62">
      <w:pPr>
        <w:spacing w:after="0" w:line="240" w:lineRule="auto"/>
      </w:pPr>
      <w:r>
        <w:separator/>
      </w:r>
    </w:p>
  </w:endnote>
  <w:endnote w:type="continuationSeparator" w:id="0">
    <w:p w14:paraId="14AACD71" w14:textId="77777777" w:rsidR="000D2E62" w:rsidRDefault="000D2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1602C" w14:textId="77777777" w:rsidR="000D2E62" w:rsidRDefault="000D2E62">
      <w:pPr>
        <w:spacing w:after="0" w:line="240" w:lineRule="auto"/>
      </w:pPr>
      <w:r>
        <w:separator/>
      </w:r>
    </w:p>
  </w:footnote>
  <w:footnote w:type="continuationSeparator" w:id="0">
    <w:p w14:paraId="72CA8C57" w14:textId="77777777" w:rsidR="000D2E62" w:rsidRDefault="000D2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7DBB"/>
    <w:rsid w:val="00011FD3"/>
    <w:rsid w:val="00042841"/>
    <w:rsid w:val="000A23B3"/>
    <w:rsid w:val="000C3B83"/>
    <w:rsid w:val="000C5803"/>
    <w:rsid w:val="000C7E3A"/>
    <w:rsid w:val="000D1E28"/>
    <w:rsid w:val="000D2E62"/>
    <w:rsid w:val="000E4176"/>
    <w:rsid w:val="000E48F5"/>
    <w:rsid w:val="0011159D"/>
    <w:rsid w:val="001233B5"/>
    <w:rsid w:val="0013730B"/>
    <w:rsid w:val="00182D8D"/>
    <w:rsid w:val="001D73C7"/>
    <w:rsid w:val="0020424B"/>
    <w:rsid w:val="002045DA"/>
    <w:rsid w:val="00216429"/>
    <w:rsid w:val="00220420"/>
    <w:rsid w:val="00243475"/>
    <w:rsid w:val="00257142"/>
    <w:rsid w:val="002B61FA"/>
    <w:rsid w:val="002B7FD4"/>
    <w:rsid w:val="002F49C7"/>
    <w:rsid w:val="00313653"/>
    <w:rsid w:val="0032305C"/>
    <w:rsid w:val="0037298D"/>
    <w:rsid w:val="003D5CF6"/>
    <w:rsid w:val="003E2B18"/>
    <w:rsid w:val="003E52B7"/>
    <w:rsid w:val="00454208"/>
    <w:rsid w:val="00462FF1"/>
    <w:rsid w:val="00464295"/>
    <w:rsid w:val="004A3EA9"/>
    <w:rsid w:val="004E5EB7"/>
    <w:rsid w:val="004E6BD4"/>
    <w:rsid w:val="00501BAC"/>
    <w:rsid w:val="00511153"/>
    <w:rsid w:val="00533249"/>
    <w:rsid w:val="00567D2F"/>
    <w:rsid w:val="005A11A2"/>
    <w:rsid w:val="005C3ED3"/>
    <w:rsid w:val="005C4A12"/>
    <w:rsid w:val="005C6564"/>
    <w:rsid w:val="006127D8"/>
    <w:rsid w:val="00612EFA"/>
    <w:rsid w:val="006247C6"/>
    <w:rsid w:val="00626BD8"/>
    <w:rsid w:val="0063524D"/>
    <w:rsid w:val="00640DD5"/>
    <w:rsid w:val="00641D47"/>
    <w:rsid w:val="006564E0"/>
    <w:rsid w:val="00661A1D"/>
    <w:rsid w:val="00684674"/>
    <w:rsid w:val="006929A0"/>
    <w:rsid w:val="006A0C38"/>
    <w:rsid w:val="006C386A"/>
    <w:rsid w:val="006C4AEC"/>
    <w:rsid w:val="006D3D90"/>
    <w:rsid w:val="006E5405"/>
    <w:rsid w:val="0071114C"/>
    <w:rsid w:val="007115BD"/>
    <w:rsid w:val="007721A9"/>
    <w:rsid w:val="00787EFF"/>
    <w:rsid w:val="007B134F"/>
    <w:rsid w:val="007D63C6"/>
    <w:rsid w:val="007F26EE"/>
    <w:rsid w:val="008220E5"/>
    <w:rsid w:val="00835E31"/>
    <w:rsid w:val="008536BB"/>
    <w:rsid w:val="008978C3"/>
    <w:rsid w:val="00897CB3"/>
    <w:rsid w:val="008A1AA9"/>
    <w:rsid w:val="008A2BCB"/>
    <w:rsid w:val="008B1D21"/>
    <w:rsid w:val="008B36A1"/>
    <w:rsid w:val="008C337B"/>
    <w:rsid w:val="008D2FF5"/>
    <w:rsid w:val="00907AAC"/>
    <w:rsid w:val="00920CE0"/>
    <w:rsid w:val="00924A49"/>
    <w:rsid w:val="00930718"/>
    <w:rsid w:val="009667E4"/>
    <w:rsid w:val="009A00D2"/>
    <w:rsid w:val="009A12E6"/>
    <w:rsid w:val="009C6074"/>
    <w:rsid w:val="009E3989"/>
    <w:rsid w:val="00A033DD"/>
    <w:rsid w:val="00A113C0"/>
    <w:rsid w:val="00A223C6"/>
    <w:rsid w:val="00A4638B"/>
    <w:rsid w:val="00A47F16"/>
    <w:rsid w:val="00A70E26"/>
    <w:rsid w:val="00AB3013"/>
    <w:rsid w:val="00AD2BE5"/>
    <w:rsid w:val="00B36D3F"/>
    <w:rsid w:val="00B5317D"/>
    <w:rsid w:val="00B67ECA"/>
    <w:rsid w:val="00B7623F"/>
    <w:rsid w:val="00B84D6A"/>
    <w:rsid w:val="00BD3F89"/>
    <w:rsid w:val="00C74812"/>
    <w:rsid w:val="00C81C2C"/>
    <w:rsid w:val="00C94F97"/>
    <w:rsid w:val="00CA4CB7"/>
    <w:rsid w:val="00CD6138"/>
    <w:rsid w:val="00D31B97"/>
    <w:rsid w:val="00D3248A"/>
    <w:rsid w:val="00D376CC"/>
    <w:rsid w:val="00D628F9"/>
    <w:rsid w:val="00D65F27"/>
    <w:rsid w:val="00D76641"/>
    <w:rsid w:val="00D97A27"/>
    <w:rsid w:val="00DA13FF"/>
    <w:rsid w:val="00DA17EA"/>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Enping</dc:creator>
  <cp:lastModifiedBy>Li, Enping</cp:lastModifiedBy>
  <cp:revision>34</cp:revision>
  <cp:lastPrinted>2021-09-02T14:17:00Z</cp:lastPrinted>
  <dcterms:created xsi:type="dcterms:W3CDTF">2019-04-08T15:24:00Z</dcterms:created>
  <dcterms:modified xsi:type="dcterms:W3CDTF">2021-09-30T14:21:00Z</dcterms:modified>
</cp:coreProperties>
</file>