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2177D02"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sidR="00CE4A21">
        <w:rPr>
          <w:rFonts w:ascii="Times New Roman" w:eastAsia="Times New Roman" w:hAnsi="Times New Roman" w:cs="Times New Roman"/>
          <w:sz w:val="24"/>
          <w:szCs w:val="24"/>
          <w:bdr w:val="none" w:sz="0" w:space="0" w:color="auto"/>
        </w:rPr>
        <w:t xml:space="preserve"> </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CCB4C" w14:textId="77777777" w:rsidR="003771EC" w:rsidRDefault="003771EC">
      <w:pPr>
        <w:spacing w:after="0" w:line="240" w:lineRule="auto"/>
      </w:pPr>
      <w:r>
        <w:separator/>
      </w:r>
    </w:p>
  </w:endnote>
  <w:endnote w:type="continuationSeparator" w:id="0">
    <w:p w14:paraId="5D8E5913" w14:textId="77777777" w:rsidR="003771EC" w:rsidRDefault="003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C51A" w14:textId="77777777" w:rsidR="003771EC" w:rsidRDefault="003771EC">
      <w:pPr>
        <w:spacing w:after="0" w:line="240" w:lineRule="auto"/>
      </w:pPr>
      <w:r>
        <w:separator/>
      </w:r>
    </w:p>
  </w:footnote>
  <w:footnote w:type="continuationSeparator" w:id="0">
    <w:p w14:paraId="3D3BD866" w14:textId="77777777" w:rsidR="003771EC" w:rsidRDefault="0037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771EC"/>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CE4A21"/>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