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C525" w14:textId="77777777" w:rsidR="00DD0EF6" w:rsidRPr="00DD0EF6" w:rsidRDefault="00DD0EF6" w:rsidP="00DD0EF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DD0EF6">
        <w:rPr>
          <w:rFonts w:ascii="Times New Roman" w:eastAsia="Times New Roman" w:hAnsi="Times New Roman" w:cs="Times New Roman"/>
          <w:b/>
          <w:bCs/>
          <w:kern w:val="0"/>
          <w:sz w:val="36"/>
          <w:szCs w:val="36"/>
          <w:highlight w:val="yellow"/>
          <w:lang w:val="en-IN" w:eastAsia="nl-BE"/>
          <w14:ligatures w14:val="none"/>
        </w:rPr>
        <w:t>A) Complete core list – missing building blocks</w:t>
      </w:r>
    </w:p>
    <w:p w14:paraId="3BAFF77B"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 Scenario Resolution layer (Phase 1.5)</w:t>
      </w:r>
    </w:p>
    <w:p w14:paraId="68B5F7C2"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 xml:space="preserve">This layer ensures that all active drivers are first consolidated into </w:t>
      </w:r>
      <w:r w:rsidRPr="00DD0EF6">
        <w:rPr>
          <w:rFonts w:ascii="Times New Roman" w:eastAsia="Times New Roman" w:hAnsi="Times New Roman" w:cs="Times New Roman"/>
          <w:b/>
          <w:bCs/>
          <w:kern w:val="0"/>
          <w:sz w:val="24"/>
          <w:szCs w:val="24"/>
          <w:lang w:val="en-IN" w:eastAsia="nl-BE"/>
          <w14:ligatures w14:val="none"/>
        </w:rPr>
        <w:t>exactly one valid scenario</w:t>
      </w:r>
      <w:r w:rsidRPr="00DD0EF6">
        <w:rPr>
          <w:rFonts w:ascii="Times New Roman" w:eastAsia="Times New Roman" w:hAnsi="Times New Roman" w:cs="Times New Roman"/>
          <w:kern w:val="0"/>
          <w:sz w:val="24"/>
          <w:szCs w:val="24"/>
          <w:lang w:val="en-IN" w:eastAsia="nl-BE"/>
          <w14:ligatures w14:val="none"/>
        </w:rPr>
        <w:t xml:space="preserve"> (or an equivalence group) before a single text block is selected. It prevents drivers from directly influencing text or modules, which could otherwise lead to drift and inconsistent behaviour. By also capturing a confidence score and a snapshot of driver priority, the system remains explainable and stable when changes are made later on. This is the backbone that defines the framework within which the report is allowed to render.</w:t>
      </w:r>
    </w:p>
    <w:p w14:paraId="27EEB1A8"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2) Driver Conflict Resolver (explicit)</w:t>
      </w:r>
    </w:p>
    <w:p w14:paraId="0B224E41"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component determines what happens when multiple drivers contradict each other—something that is unavoidable in real-world responses. A priority matrix alone is insufficient; you need explicit conflict types, tie-breakers, and winner/loser rules to enforce predictable behaviour. Reason codes make it transparent afterward why a particular choice was made or suppressed. This prevents “silent” decisions that are difficult to explain or debug later.</w:t>
      </w:r>
    </w:p>
    <w:p w14:paraId="3E20CD62"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3) Block-Level Trigger Register</w:t>
      </w:r>
    </w:p>
    <w:p w14:paraId="0B74042B"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register defines, at block level (not module level), when a text block may appear, when it must be suppressed, and how often it may occur at most. This is where personalisation truly happens: two users within the same scenario may receive different blocks due to subtle driver combinations. Without this, the report remains structurally correct but content-wise too generic. It is the difference between “well structured” and “this is about me.”</w:t>
      </w:r>
    </w:p>
    <w:p w14:paraId="7CD097BF"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4) Composition Contract (independent of templates)</w:t>
      </w:r>
    </w:p>
    <w:p w14:paraId="695A6814"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The composition contract defines how the report may be assembled, independent of the copy itself. It specifies sections, fixed ordering, permitted block types per section, and hard limits (e.g. a maximum of one warning). This keeps textual content clean and prevents logic from being accidentally embedded in templates. It significantly simplifies maintenance, testing, and internationalisation.</w:t>
      </w:r>
    </w:p>
    <w:p w14:paraId="4C57C478"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5) Global Presentation Rules (upstream)</w:t>
      </w:r>
    </w:p>
    <w:p w14:paraId="5E191D70"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These rules determine what comes first, what receives emphasis, and which tone is dominant—</w:t>
      </w:r>
      <w:r w:rsidRPr="00DD0EF6">
        <w:rPr>
          <w:rFonts w:ascii="Times New Roman" w:eastAsia="Times New Roman" w:hAnsi="Times New Roman" w:cs="Times New Roman"/>
          <w:i/>
          <w:iCs/>
          <w:kern w:val="0"/>
          <w:sz w:val="24"/>
          <w:szCs w:val="24"/>
          <w:lang w:val="en-IN" w:eastAsia="nl-BE"/>
          <w14:ligatures w14:val="none"/>
        </w:rPr>
        <w:t>before</w:t>
      </w:r>
      <w:r w:rsidRPr="00DD0EF6">
        <w:rPr>
          <w:rFonts w:ascii="Times New Roman" w:eastAsia="Times New Roman" w:hAnsi="Times New Roman" w:cs="Times New Roman"/>
          <w:kern w:val="0"/>
          <w:sz w:val="24"/>
          <w:szCs w:val="24"/>
          <w:lang w:val="en-IN" w:eastAsia="nl-BE"/>
          <w14:ligatures w14:val="none"/>
        </w:rPr>
        <w:t xml:space="preserve"> any text is selected. They ensure that two reports with identical content can still feel different, depending on priorities such as aesthetics, risk, or decision stage. Without this layer, order and emphasis emerge implicitly from copy, which is dangerous for consistency. Best-in-class systems control presentation explicitly and canonically.</w:t>
      </w:r>
    </w:p>
    <w:p w14:paraId="048B3678"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6) Fallback &amp; Silence Rules (hard-specified)</w:t>
      </w:r>
    </w:p>
    <w:p w14:paraId="6BB558D5"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These rules define what the system does when information is missing, conflicting, or outside a scenario. More importantly, they also define when the system must deliberately say nothing. This prevents over-explaining, legal risk, and inaccurate assumptions. Without hard fallback and silence rules, a report quickly feels restless or “over-talkative.”</w:t>
      </w:r>
    </w:p>
    <w:p w14:paraId="271DC8E9"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lastRenderedPageBreak/>
        <w:t>7) Variable Injection + Formatting + Grammar micro-engine</w:t>
      </w:r>
    </w:p>
    <w:p w14:paraId="3CB14AEB"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micro-layer ensures that variables are always linguistically correct, neatly formatted, and consistently rendered. Think of monetary amounts, time indications, plural forms, and consistent use of “you/your.” Without this, even perfect content can feel sloppy or AI-like. It is a small technical detail with a large impact on perceived quality and trust.</w:t>
      </w:r>
    </w:p>
    <w:p w14:paraId="7893DCA7"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8) Safety / Compliance Redaction Layer</w:t>
      </w:r>
    </w:p>
    <w:p w14:paraId="5B84F737"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layer actively ensures that texts remain within legal and medical boundaries, per language and per country. It works with prohibited phrasings, claim-linting, and country-specific toggles. This prevents correct logic from inadvertently suggesting a medical claim. It is essential for international scalability without legal risk.</w:t>
      </w:r>
    </w:p>
    <w:p w14:paraId="170CDF43"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9) Test Harness + Coverage + Regression</w:t>
      </w:r>
    </w:p>
    <w:p w14:paraId="63DDBE7E"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is the system that guarantees your report continues to behave as intended after every change. Golden test cases define which blocks are expected per scenario, while coverage matrices show what has and has not been tested. Per-language snapshot tests ensure that translations do not break logic. Without this, even a strong system will lose reliability over time.</w:t>
      </w:r>
    </w:p>
    <w:p w14:paraId="4CE1C79B"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10) Observability / Audit Trail</w:t>
      </w:r>
    </w:p>
    <w:p w14:paraId="0CB36B5D"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 xml:space="preserve">This layer records how a report was generated: from the </w:t>
      </w:r>
      <w:proofErr w:type="spellStart"/>
      <w:r w:rsidRPr="00DD0EF6">
        <w:rPr>
          <w:rFonts w:ascii="Times New Roman" w:eastAsia="Times New Roman" w:hAnsi="Times New Roman" w:cs="Times New Roman"/>
          <w:kern w:val="0"/>
          <w:sz w:val="24"/>
          <w:szCs w:val="24"/>
          <w:lang w:val="en-IN" w:eastAsia="nl-BE"/>
          <w14:ligatures w14:val="none"/>
        </w:rPr>
        <w:t>DriverStateBundle</w:t>
      </w:r>
      <w:proofErr w:type="spellEnd"/>
      <w:r w:rsidRPr="00DD0EF6">
        <w:rPr>
          <w:rFonts w:ascii="Times New Roman" w:eastAsia="Times New Roman" w:hAnsi="Times New Roman" w:cs="Times New Roman"/>
          <w:kern w:val="0"/>
          <w:sz w:val="24"/>
          <w:szCs w:val="24"/>
          <w:lang w:val="en-IN" w:eastAsia="nl-BE"/>
          <w14:ligatures w14:val="none"/>
        </w:rPr>
        <w:t xml:space="preserve"> to the resolved scenario, selected blocks, and suppressed options— including reason codes and version IDs of all applied canonical documents. This makes errors analysable, governance enforceable, and IP defensible. Without an audit trail, the system becomes a black box—even to you.</w:t>
      </w:r>
    </w:p>
    <w:p w14:paraId="5A2A9165" w14:textId="78EBAE46" w:rsidR="00DD0EF6" w:rsidRPr="00DD0EF6" w:rsidRDefault="00DD0EF6" w:rsidP="00DD0EF6">
      <w:pPr>
        <w:spacing w:after="0" w:line="240" w:lineRule="auto"/>
        <w:rPr>
          <w:rFonts w:ascii="Times New Roman" w:eastAsia="Times New Roman" w:hAnsi="Times New Roman" w:cs="Times New Roman"/>
          <w:kern w:val="0"/>
          <w:sz w:val="24"/>
          <w:szCs w:val="24"/>
          <w:lang w:eastAsia="nl-BE"/>
          <w14:ligatures w14:val="none"/>
        </w:rPr>
      </w:pPr>
    </w:p>
    <w:p w14:paraId="2E18BBE4" w14:textId="77777777" w:rsidR="00DD0EF6" w:rsidRPr="00DD0EF6" w:rsidRDefault="00DD0EF6" w:rsidP="00DD0EF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DD0EF6">
        <w:rPr>
          <w:rFonts w:ascii="Times New Roman" w:eastAsia="Times New Roman" w:hAnsi="Times New Roman" w:cs="Times New Roman"/>
          <w:b/>
          <w:bCs/>
          <w:kern w:val="0"/>
          <w:sz w:val="36"/>
          <w:szCs w:val="36"/>
          <w:highlight w:val="yellow"/>
          <w:lang w:val="en-IN" w:eastAsia="nl-BE"/>
          <w14:ligatures w14:val="none"/>
        </w:rPr>
        <w:t>B) Optional “enterprise” extensions</w:t>
      </w:r>
    </w:p>
    <w:p w14:paraId="05ECD866"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11) Consistency Checker (report-wide)</w:t>
      </w:r>
    </w:p>
    <w:p w14:paraId="6A3667DE"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module checks whether selected blocks contradict each other conceptually. For example, it can detect tension between “fast results” and “long-term trajectory.” It improves content coherence but is not a hard requirement for best-in-class systems. It is mainly valuable in highly complex scenarios.</w:t>
      </w:r>
    </w:p>
    <w:p w14:paraId="443B8CEF"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12) Readability &amp; Length Governor</w:t>
      </w:r>
    </w:p>
    <w:p w14:paraId="3B9A8C22"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layer controls readability level, length, and depth of the report. It prevents overload for users with low decision maturity and allows deeper explanations where appropriate. This improves user experience, but can partially be addressed through content choices. Hence optional.</w:t>
      </w:r>
    </w:p>
    <w:p w14:paraId="2238D262"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p>
    <w:p w14:paraId="32FECFFD" w14:textId="2D68A2C3"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13) Localization Governance per country</w:t>
      </w:r>
    </w:p>
    <w:p w14:paraId="747DFC5E"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goes beyond translation: it governs terminology, cultural sensitivities, and prohibited formulations per jurisdiction. It makes international rollout more consistent and safer. For Flanders this is less critical, but at multi-country scale it becomes extremely valuable—hence enterprise-level.</w:t>
      </w:r>
    </w:p>
    <w:p w14:paraId="20478BBA"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14) Content Lifecycle Tooling</w:t>
      </w:r>
    </w:p>
    <w:p w14:paraId="73C80F7F"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tooling manages the lifecycle of content blocks: review dates, ownership, deprecation, and replacement. It prevents outdated information from continuing to render. This is especially important with larger teams or long-running systems. Not strictly required to start, but essential to remain mature.</w:t>
      </w:r>
    </w:p>
    <w:p w14:paraId="5D076C6D" w14:textId="77777777" w:rsidR="00DD0EF6" w:rsidRPr="00DD0EF6" w:rsidRDefault="00DD0EF6" w:rsidP="00DD0EF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nl-BE"/>
          <w14:ligatures w14:val="none"/>
        </w:rPr>
      </w:pPr>
      <w:r w:rsidRPr="00DD0EF6">
        <w:rPr>
          <w:rFonts w:ascii="Times New Roman" w:eastAsia="Times New Roman" w:hAnsi="Times New Roman" w:cs="Times New Roman"/>
          <w:b/>
          <w:bCs/>
          <w:kern w:val="0"/>
          <w:sz w:val="27"/>
          <w:szCs w:val="27"/>
          <w:lang w:val="en-IN" w:eastAsia="nl-BE"/>
          <w14:ligatures w14:val="none"/>
        </w:rPr>
        <w:t>15) Deterministic Explainability Module</w:t>
      </w:r>
    </w:p>
    <w:p w14:paraId="00D78404" w14:textId="77777777" w:rsidR="00DD0EF6" w:rsidRPr="00DD0EF6" w:rsidRDefault="00DD0EF6" w:rsidP="00DD0EF6">
      <w:p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DD0EF6">
        <w:rPr>
          <w:rFonts w:ascii="Times New Roman" w:eastAsia="Times New Roman" w:hAnsi="Times New Roman" w:cs="Times New Roman"/>
          <w:kern w:val="0"/>
          <w:sz w:val="24"/>
          <w:szCs w:val="24"/>
          <w:lang w:val="en-IN" w:eastAsia="nl-BE"/>
          <w14:ligatures w14:val="none"/>
        </w:rPr>
        <w:t>This module can internally (or in a limited external form) explain why certain sections were shown or suppressed—without providing advice. It increases trust and supports support processes or auditing. Not necessary for end users, but highly useful for governance and partners.</w:t>
      </w:r>
    </w:p>
    <w:p w14:paraId="0835C051" w14:textId="77777777" w:rsidR="00916515" w:rsidRPr="00DD0EF6" w:rsidRDefault="00916515">
      <w:pPr>
        <w:rPr>
          <w:rFonts w:ascii="Times New Roman" w:hAnsi="Times New Roman" w:cs="Times New Roman"/>
          <w:sz w:val="24"/>
          <w:szCs w:val="24"/>
          <w:lang w:val="en-IN"/>
        </w:rPr>
      </w:pPr>
    </w:p>
    <w:sectPr w:rsidR="00916515" w:rsidRPr="00DD0E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AA"/>
    <w:rsid w:val="00470AAA"/>
    <w:rsid w:val="00484D0F"/>
    <w:rsid w:val="00651B0A"/>
    <w:rsid w:val="00916515"/>
    <w:rsid w:val="00DD0EF6"/>
    <w:rsid w:val="00E03F6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CF63"/>
  <w15:chartTrackingRefBased/>
  <w15:docId w15:val="{971BFEAB-8D40-46E3-BA1E-1753D180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70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470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70AA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70AA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70AA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70AA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70AA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70AA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70AA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70AA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470AA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470AA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70AA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70AA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70AA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70AA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70AA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70AAA"/>
    <w:rPr>
      <w:rFonts w:eastAsiaTheme="majorEastAsia" w:cstheme="majorBidi"/>
      <w:color w:val="272727" w:themeColor="text1" w:themeTint="D8"/>
    </w:rPr>
  </w:style>
  <w:style w:type="paragraph" w:styleId="Titel">
    <w:name w:val="Title"/>
    <w:basedOn w:val="Standaard"/>
    <w:next w:val="Standaard"/>
    <w:link w:val="TitelChar"/>
    <w:uiPriority w:val="10"/>
    <w:qFormat/>
    <w:rsid w:val="00470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70AA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70AA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70AA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70AA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70AAA"/>
    <w:rPr>
      <w:i/>
      <w:iCs/>
      <w:color w:val="404040" w:themeColor="text1" w:themeTint="BF"/>
    </w:rPr>
  </w:style>
  <w:style w:type="paragraph" w:styleId="Lijstalinea">
    <w:name w:val="List Paragraph"/>
    <w:basedOn w:val="Standaard"/>
    <w:uiPriority w:val="34"/>
    <w:qFormat/>
    <w:rsid w:val="00470AAA"/>
    <w:pPr>
      <w:ind w:left="720"/>
      <w:contextualSpacing/>
    </w:pPr>
  </w:style>
  <w:style w:type="character" w:styleId="Intensievebenadrukking">
    <w:name w:val="Intense Emphasis"/>
    <w:basedOn w:val="Standaardalinea-lettertype"/>
    <w:uiPriority w:val="21"/>
    <w:qFormat/>
    <w:rsid w:val="00470AAA"/>
    <w:rPr>
      <w:i/>
      <w:iCs/>
      <w:color w:val="2F5496" w:themeColor="accent1" w:themeShade="BF"/>
    </w:rPr>
  </w:style>
  <w:style w:type="paragraph" w:styleId="Duidelijkcitaat">
    <w:name w:val="Intense Quote"/>
    <w:basedOn w:val="Standaard"/>
    <w:next w:val="Standaard"/>
    <w:link w:val="DuidelijkcitaatChar"/>
    <w:uiPriority w:val="30"/>
    <w:qFormat/>
    <w:rsid w:val="00470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70AAA"/>
    <w:rPr>
      <w:i/>
      <w:iCs/>
      <w:color w:val="2F5496" w:themeColor="accent1" w:themeShade="BF"/>
    </w:rPr>
  </w:style>
  <w:style w:type="character" w:styleId="Intensieveverwijzing">
    <w:name w:val="Intense Reference"/>
    <w:basedOn w:val="Standaardalinea-lettertype"/>
    <w:uiPriority w:val="32"/>
    <w:qFormat/>
    <w:rsid w:val="00470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Words>
  <Characters>5246</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2025-12-28T16:45:00Z</dcterms:created>
  <dcterms:modified xsi:type="dcterms:W3CDTF">2025-12-28T16:54:00Z</dcterms:modified>
</cp:coreProperties>
</file>