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46B7" w14:textId="1FFBF397" w:rsidR="00E668AF" w:rsidRDefault="00E668AF" w:rsidP="00E668AF">
      <w:r w:rsidRPr="00E668AF">
        <w:t xml:space="preserve">Category: - Pharmaceuticals </w:t>
      </w:r>
      <w:r w:rsidRPr="00E668AF">
        <w:tab/>
      </w:r>
    </w:p>
    <w:p w14:paraId="3F1887F9" w14:textId="6217221D" w:rsidR="00E668AF" w:rsidRDefault="00E668AF" w:rsidP="00E668AF">
      <w:r w:rsidRPr="00E668AF">
        <w:t xml:space="preserve">Old </w:t>
      </w:r>
      <w:hyperlink r:id="rId5" w:history="1">
        <w:r w:rsidRPr="00D816B0">
          <w:rPr>
            <w:rStyle w:val="Hyperlink"/>
          </w:rPr>
          <w:t>Url:-</w:t>
        </w:r>
      </w:hyperlink>
      <w:r>
        <w:t xml:space="preserve"> </w:t>
      </w:r>
      <w:hyperlink r:id="rId6" w:history="1">
        <w:r w:rsidRPr="00D816B0">
          <w:rPr>
            <w:rStyle w:val="Hyperlink"/>
          </w:rPr>
          <w:t>https://www.mavenrs.com/blog/biosimilars-beyond-direct-studies-ensuring-successful-extrapolation</w:t>
        </w:r>
      </w:hyperlink>
    </w:p>
    <w:p w14:paraId="2AE22E0C" w14:textId="148432B1" w:rsidR="009B31F9" w:rsidRPr="009B31F9" w:rsidRDefault="0060315D" w:rsidP="009B31F9">
      <w:r>
        <w:rPr>
          <w:rFonts w:ascii="Segoe UI Emoji" w:hAnsi="Segoe UI Emoji" w:cs="Segoe UI Emoji"/>
          <w:b/>
          <w:bCs/>
        </w:rPr>
        <w:t xml:space="preserve">New </w:t>
      </w:r>
      <w:hyperlink r:id="rId7" w:history="1">
        <w:r w:rsidRPr="00BD6D0F">
          <w:rPr>
            <w:rStyle w:val="Hyperlink"/>
            <w:rFonts w:ascii="Segoe UI Emoji" w:hAnsi="Segoe UI Emoji" w:cs="Segoe UI Emoji"/>
            <w:b/>
            <w:bCs/>
          </w:rPr>
          <w:t>Url:-</w:t>
        </w:r>
      </w:hyperlink>
      <w:r>
        <w:rPr>
          <w:rFonts w:ascii="Segoe UI Emoji" w:hAnsi="Segoe UI Emoji" w:cs="Segoe UI Emoji"/>
          <w:b/>
          <w:bCs/>
        </w:rPr>
        <w:t xml:space="preserve"> </w:t>
      </w:r>
      <w:r w:rsidR="009B31F9" w:rsidRPr="009B31F9">
        <w:rPr>
          <w:b/>
          <w:bCs/>
        </w:rPr>
        <w:t>/biosimilars-extrapolation-guidelines-fda-ema-pk-pd-immunogenicity</w:t>
      </w:r>
    </w:p>
    <w:p w14:paraId="2A92FD3F" w14:textId="1CFD82F0" w:rsidR="009B31F9" w:rsidRPr="009B31F9" w:rsidRDefault="009B31F9" w:rsidP="0060315D">
      <w:pPr>
        <w:pStyle w:val="Heading1"/>
      </w:pPr>
      <w:r w:rsidRPr="009B31F9">
        <w:t xml:space="preserve">Biosimilars Beyond Direct Studies: Ensuring Successful Extrapolation </w:t>
      </w:r>
    </w:p>
    <w:p w14:paraId="5C0A521A" w14:textId="3BFB5B52" w:rsidR="009B31F9" w:rsidRPr="00DA0A18" w:rsidRDefault="009B31F9" w:rsidP="009B31F9">
      <w:r w:rsidRPr="00DA0A18">
        <w:t xml:space="preserve">Biosimilars are transforming the global </w:t>
      </w:r>
      <w:hyperlink r:id="rId8" w:history="1">
        <w:r w:rsidRPr="00DA0A18">
          <w:rPr>
            <w:rStyle w:val="Hyperlink"/>
            <w:u w:val="none"/>
          </w:rPr>
          <w:t>biologics</w:t>
        </w:r>
      </w:hyperlink>
      <w:r w:rsidRPr="00DA0A18">
        <w:t xml:space="preserve"> landscape by offering </w:t>
      </w:r>
      <w:r w:rsidRPr="00DA0A18">
        <w:rPr>
          <w:b/>
          <w:bCs/>
        </w:rPr>
        <w:t xml:space="preserve">cost-effective alternatives to high-cost reference </w:t>
      </w:r>
      <w:r w:rsidR="0060315D" w:rsidRPr="00DA0A18">
        <w:rPr>
          <w:b/>
          <w:bCs/>
        </w:rPr>
        <w:t>biology</w:t>
      </w:r>
      <w:r w:rsidRPr="00DA0A18">
        <w:t xml:space="preserve"> while maintaining equivalent standards of </w:t>
      </w:r>
      <w:r w:rsidRPr="00DA0A18">
        <w:rPr>
          <w:b/>
          <w:bCs/>
        </w:rPr>
        <w:t>safety, purity, and potency</w:t>
      </w:r>
      <w:r w:rsidRPr="00DA0A18">
        <w:t>.</w:t>
      </w:r>
    </w:p>
    <w:p w14:paraId="51E7C8F6" w14:textId="18DF10A8" w:rsidR="0060315D" w:rsidRPr="00DA0A18" w:rsidRDefault="0060315D" w:rsidP="0060315D">
      <w:r w:rsidRPr="00DA0A18">
        <w:rPr>
          <w:b/>
          <w:bCs/>
        </w:rPr>
        <w:t xml:space="preserve">Biosimilar extrapolation </w:t>
      </w:r>
      <w:r w:rsidRPr="00DA0A18">
        <w:t xml:space="preserve">allows approval for multiple indications without direct clinical trials, provided robust analytical, clinical, and scientific justification demonstrates comparable safety, efficacy, </w:t>
      </w:r>
      <w:hyperlink r:id="rId9" w:history="1">
        <w:r w:rsidRPr="00DA0A18">
          <w:rPr>
            <w:rStyle w:val="Hyperlink"/>
            <w:u w:val="none"/>
          </w:rPr>
          <w:t>pharmacokinetics</w:t>
        </w:r>
      </w:hyperlink>
      <w:r w:rsidRPr="00DA0A18">
        <w:t>, and</w:t>
      </w:r>
      <w:r w:rsidRPr="00DA0A18">
        <w:rPr>
          <w:b/>
          <w:bCs/>
        </w:rPr>
        <w:t xml:space="preserve"> immunogenicity to the reference biologic.</w:t>
      </w:r>
    </w:p>
    <w:p w14:paraId="12FC8B63" w14:textId="77777777" w:rsidR="009B31F9" w:rsidRPr="00DA0A18" w:rsidRDefault="009B31F9" w:rsidP="009B31F9">
      <w:r w:rsidRPr="00DA0A18">
        <w:t xml:space="preserve">Regulatory authorities such as the </w:t>
      </w:r>
      <w:r w:rsidRPr="00DA0A18">
        <w:rPr>
          <w:b/>
          <w:bCs/>
        </w:rPr>
        <w:t>U.S. Food and Drug Administration (FDA)</w:t>
      </w:r>
      <w:r w:rsidRPr="00DA0A18">
        <w:t xml:space="preserve">, </w:t>
      </w:r>
      <w:r w:rsidRPr="00DA0A18">
        <w:rPr>
          <w:b/>
          <w:bCs/>
        </w:rPr>
        <w:t>European Medicines Agency (EMA)</w:t>
      </w:r>
      <w:r w:rsidRPr="00DA0A18">
        <w:t xml:space="preserve">, and </w:t>
      </w:r>
      <w:r w:rsidRPr="00DA0A18">
        <w:rPr>
          <w:b/>
          <w:bCs/>
        </w:rPr>
        <w:t>World Health Organization (WHO)</w:t>
      </w:r>
      <w:r w:rsidRPr="00DA0A18">
        <w:t xml:space="preserve"> have established </w:t>
      </w:r>
      <w:r w:rsidRPr="00DA0A18">
        <w:rPr>
          <w:b/>
          <w:bCs/>
        </w:rPr>
        <w:t>abbreviated approval pathways</w:t>
      </w:r>
      <w:r w:rsidRPr="00DA0A18">
        <w:t xml:space="preserve"> to accelerate biosimilar development.</w:t>
      </w:r>
    </w:p>
    <w:p w14:paraId="7D7C0391" w14:textId="77777777" w:rsidR="009B31F9" w:rsidRPr="00DA0A18" w:rsidRDefault="009B31F9" w:rsidP="009B31F9">
      <w:r w:rsidRPr="00DA0A18">
        <w:t xml:space="preserve">A cornerstone of this pathway is </w:t>
      </w:r>
      <w:r w:rsidRPr="00DA0A18">
        <w:rPr>
          <w:b/>
          <w:bCs/>
        </w:rPr>
        <w:t>extrapolation</w:t>
      </w:r>
      <w:r w:rsidRPr="00DA0A18">
        <w:t xml:space="preserve">, a scientifically driven approach that enables approval across multiple indications </w:t>
      </w:r>
      <w:r w:rsidRPr="00DA0A18">
        <w:rPr>
          <w:b/>
          <w:bCs/>
        </w:rPr>
        <w:t>without redundant clinical trials</w:t>
      </w:r>
      <w:r w:rsidRPr="00DA0A18">
        <w:t>, significantly reducing development timelines and costs.</w:t>
      </w:r>
    </w:p>
    <w:p w14:paraId="19A1D122" w14:textId="4A0F9A5F" w:rsidR="009B31F9" w:rsidRPr="00DA0A18" w:rsidRDefault="009B31F9" w:rsidP="009B31F9">
      <w:r w:rsidRPr="00DA0A18">
        <w:t xml:space="preserve">This 2026 guide by </w:t>
      </w:r>
      <w:r w:rsidRPr="00DA0A18">
        <w:rPr>
          <w:b/>
          <w:bCs/>
        </w:rPr>
        <w:t>Maven Regulatory Solutions</w:t>
      </w:r>
      <w:r w:rsidRPr="00DA0A18">
        <w:t xml:space="preserve"> provides an in-depth understanding of </w:t>
      </w:r>
      <w:r w:rsidRPr="00DA0A18">
        <w:rPr>
          <w:b/>
          <w:bCs/>
        </w:rPr>
        <w:t>biosimilar extrapolation strategies, regulatory expectations, and</w:t>
      </w:r>
      <w:hyperlink r:id="rId10" w:history="1">
        <w:r w:rsidRPr="00DA0A18">
          <w:rPr>
            <w:rStyle w:val="Hyperlink"/>
            <w:b/>
            <w:bCs/>
            <w:u w:val="none"/>
          </w:rPr>
          <w:t xml:space="preserve"> toxicological</w:t>
        </w:r>
      </w:hyperlink>
      <w:r w:rsidRPr="00DA0A18">
        <w:rPr>
          <w:b/>
          <w:bCs/>
        </w:rPr>
        <w:t xml:space="preserve"> considerations</w:t>
      </w:r>
      <w:r w:rsidRPr="00DA0A18">
        <w:t>.</w:t>
      </w:r>
    </w:p>
    <w:p w14:paraId="1AF73080" w14:textId="736F123C" w:rsidR="009B31F9" w:rsidRPr="009B31F9" w:rsidRDefault="009B31F9" w:rsidP="0060315D">
      <w:pPr>
        <w:pStyle w:val="Heading2"/>
      </w:pPr>
      <w:r w:rsidRPr="009B31F9">
        <w:t xml:space="preserve">Understanding Biosimilars </w:t>
      </w:r>
      <w:r w:rsidR="0060315D" w:rsidRPr="009B31F9">
        <w:t>and</w:t>
      </w:r>
      <w:r w:rsidRPr="009B31F9">
        <w:t xml:space="preserve"> Extrapolation</w:t>
      </w:r>
    </w:p>
    <w:p w14:paraId="180C64DC" w14:textId="77777777" w:rsidR="009B31F9" w:rsidRPr="009B31F9" w:rsidRDefault="009B31F9" w:rsidP="009B31F9">
      <w:pPr>
        <w:rPr>
          <w:b/>
          <w:bCs/>
        </w:rPr>
      </w:pPr>
      <w:r w:rsidRPr="009B31F9">
        <w:rPr>
          <w:b/>
          <w:bCs/>
        </w:rPr>
        <w:t>What Are Biosimilars?</w:t>
      </w:r>
    </w:p>
    <w:p w14:paraId="2E8614E7" w14:textId="77777777" w:rsidR="009B31F9" w:rsidRPr="009B31F9" w:rsidRDefault="009B31F9" w:rsidP="009B31F9">
      <w:r w:rsidRPr="009B31F9">
        <w:t>Biosimilars are biologic products that are:</w:t>
      </w:r>
    </w:p>
    <w:p w14:paraId="68DCB89C" w14:textId="7D6EF63B" w:rsidR="009B31F9" w:rsidRPr="009B31F9" w:rsidRDefault="009B31F9" w:rsidP="009B31F9">
      <w:pPr>
        <w:numPr>
          <w:ilvl w:val="0"/>
          <w:numId w:val="1"/>
        </w:numPr>
      </w:pPr>
      <w:r w:rsidRPr="009B31F9">
        <w:t xml:space="preserve">Highly </w:t>
      </w:r>
      <w:r w:rsidR="0060315D" w:rsidRPr="009B31F9">
        <w:t>like</w:t>
      </w:r>
      <w:r w:rsidRPr="009B31F9">
        <w:t xml:space="preserve"> an approved reference product </w:t>
      </w:r>
    </w:p>
    <w:p w14:paraId="76A31894" w14:textId="77777777" w:rsidR="009B31F9" w:rsidRPr="009B31F9" w:rsidRDefault="009B31F9" w:rsidP="009B31F9">
      <w:pPr>
        <w:numPr>
          <w:ilvl w:val="0"/>
          <w:numId w:val="1"/>
        </w:numPr>
      </w:pPr>
      <w:r w:rsidRPr="009B31F9">
        <w:t xml:space="preserve">Free from clinically meaningful differences </w:t>
      </w:r>
    </w:p>
    <w:p w14:paraId="69F2D2C9" w14:textId="77777777" w:rsidR="009B31F9" w:rsidRPr="009B31F9" w:rsidRDefault="009B31F9" w:rsidP="009B31F9">
      <w:pPr>
        <w:numPr>
          <w:ilvl w:val="0"/>
          <w:numId w:val="1"/>
        </w:numPr>
      </w:pPr>
      <w:r w:rsidRPr="009B31F9">
        <w:t xml:space="preserve">Supported by comprehensive comparability studies </w:t>
      </w:r>
    </w:p>
    <w:p w14:paraId="7EF43073" w14:textId="77777777" w:rsidR="009B31F9" w:rsidRPr="009B31F9" w:rsidRDefault="009B31F9" w:rsidP="0060315D">
      <w:pPr>
        <w:pStyle w:val="Heading2"/>
      </w:pPr>
      <w:r w:rsidRPr="009B31F9">
        <w:lastRenderedPageBreak/>
        <w:t>What Is Extrapolation?</w:t>
      </w:r>
    </w:p>
    <w:p w14:paraId="78F3AF6C" w14:textId="77777777" w:rsidR="009B31F9" w:rsidRPr="009B31F9" w:rsidRDefault="009B31F9" w:rsidP="009B31F9">
      <w:r w:rsidRPr="009B31F9">
        <w:t xml:space="preserve">Extrapolation is the </w:t>
      </w:r>
      <w:r w:rsidRPr="009B31F9">
        <w:rPr>
          <w:b/>
          <w:bCs/>
        </w:rPr>
        <w:t>regulatory approval of a biosimilar for additional indications</w:t>
      </w:r>
      <w:r w:rsidRPr="009B31F9">
        <w:t xml:space="preserve"> of the reference product </w:t>
      </w:r>
      <w:r w:rsidRPr="009B31F9">
        <w:rPr>
          <w:b/>
          <w:bCs/>
        </w:rPr>
        <w:t>without conducting direct clinical trials for each indication</w:t>
      </w:r>
      <w:r w:rsidRPr="009B31F9">
        <w:t>, based on scientific justification.</w:t>
      </w:r>
    </w:p>
    <w:p w14:paraId="3B0DCADD" w14:textId="5FF5D7D5" w:rsidR="009B31F9" w:rsidRPr="009B31F9" w:rsidRDefault="009B31F9" w:rsidP="009B31F9">
      <w:pPr>
        <w:rPr>
          <w:b/>
          <w:bCs/>
        </w:rPr>
      </w:pPr>
      <w:r w:rsidRPr="009B31F9">
        <w:rPr>
          <w:b/>
          <w:bCs/>
        </w:rPr>
        <w:t xml:space="preserve">Regulatory Framework </w:t>
      </w:r>
      <w:r w:rsidR="0060315D" w:rsidRPr="009B31F9">
        <w:rPr>
          <w:b/>
          <w:bCs/>
        </w:rPr>
        <w:t>for</w:t>
      </w:r>
      <w:r w:rsidRPr="009B31F9">
        <w:rPr>
          <w:b/>
          <w:bCs/>
        </w:rPr>
        <w:t xml:space="preserve"> Biosimilar Extrapolation</w:t>
      </w:r>
    </w:p>
    <w:p w14:paraId="1B2C6298" w14:textId="141A9C7A" w:rsidR="009B31F9" w:rsidRPr="009B31F9" w:rsidRDefault="009B31F9" w:rsidP="009B31F9">
      <w:r w:rsidRPr="009B31F9">
        <w:t xml:space="preserve">Global regulatory agencies </w:t>
      </w:r>
      <w:r w:rsidR="0060315D" w:rsidRPr="009B31F9">
        <w:t>align</w:t>
      </w:r>
      <w:r w:rsidRPr="009B31F9">
        <w:t xml:space="preserve"> key principles for extrapolation:</w:t>
      </w:r>
    </w:p>
    <w:tbl>
      <w:tblPr>
        <w:tblStyle w:val="TableGrid"/>
        <w:tblW w:w="0" w:type="auto"/>
        <w:tblLook w:val="04A0" w:firstRow="1" w:lastRow="0" w:firstColumn="1" w:lastColumn="0" w:noHBand="0" w:noVBand="1"/>
      </w:tblPr>
      <w:tblGrid>
        <w:gridCol w:w="1776"/>
        <w:gridCol w:w="4872"/>
      </w:tblGrid>
      <w:tr w:rsidR="009B31F9" w:rsidRPr="009B31F9" w14:paraId="41836523" w14:textId="77777777" w:rsidTr="0060315D">
        <w:tc>
          <w:tcPr>
            <w:tcW w:w="0" w:type="auto"/>
            <w:shd w:val="clear" w:color="auto" w:fill="DAE9F7" w:themeFill="text2" w:themeFillTint="1A"/>
            <w:hideMark/>
          </w:tcPr>
          <w:p w14:paraId="10CF20B0" w14:textId="77777777" w:rsidR="009B31F9" w:rsidRPr="009B31F9" w:rsidRDefault="009B31F9" w:rsidP="009B31F9">
            <w:pPr>
              <w:rPr>
                <w:b/>
                <w:bCs/>
              </w:rPr>
            </w:pPr>
            <w:r w:rsidRPr="009B31F9">
              <w:rPr>
                <w:b/>
                <w:bCs/>
              </w:rPr>
              <w:t>Agency</w:t>
            </w:r>
          </w:p>
        </w:tc>
        <w:tc>
          <w:tcPr>
            <w:tcW w:w="0" w:type="auto"/>
            <w:shd w:val="clear" w:color="auto" w:fill="DAE9F7" w:themeFill="text2" w:themeFillTint="1A"/>
            <w:hideMark/>
          </w:tcPr>
          <w:p w14:paraId="7525ADA4" w14:textId="77777777" w:rsidR="009B31F9" w:rsidRPr="009B31F9" w:rsidRDefault="009B31F9" w:rsidP="009B31F9">
            <w:pPr>
              <w:rPr>
                <w:b/>
                <w:bCs/>
              </w:rPr>
            </w:pPr>
            <w:r w:rsidRPr="009B31F9">
              <w:rPr>
                <w:b/>
                <w:bCs/>
              </w:rPr>
              <w:t>Guideline Focus</w:t>
            </w:r>
          </w:p>
        </w:tc>
      </w:tr>
      <w:tr w:rsidR="009B31F9" w:rsidRPr="009B31F9" w14:paraId="717110B6" w14:textId="77777777" w:rsidTr="0060315D">
        <w:tc>
          <w:tcPr>
            <w:tcW w:w="0" w:type="auto"/>
            <w:hideMark/>
          </w:tcPr>
          <w:p w14:paraId="68CBD398" w14:textId="77777777" w:rsidR="009B31F9" w:rsidRPr="009B31F9" w:rsidRDefault="009B31F9" w:rsidP="009B31F9">
            <w:r w:rsidRPr="009B31F9">
              <w:t>FDA</w:t>
            </w:r>
          </w:p>
        </w:tc>
        <w:tc>
          <w:tcPr>
            <w:tcW w:w="0" w:type="auto"/>
            <w:hideMark/>
          </w:tcPr>
          <w:p w14:paraId="6E814CED" w14:textId="77777777" w:rsidR="009B31F9" w:rsidRPr="009B31F9" w:rsidRDefault="009B31F9" w:rsidP="009B31F9">
            <w:r w:rsidRPr="009B31F9">
              <w:t>Totality of evidence approach</w:t>
            </w:r>
          </w:p>
        </w:tc>
      </w:tr>
      <w:tr w:rsidR="009B31F9" w:rsidRPr="009B31F9" w14:paraId="6A5E24B0" w14:textId="77777777" w:rsidTr="0060315D">
        <w:tc>
          <w:tcPr>
            <w:tcW w:w="0" w:type="auto"/>
            <w:hideMark/>
          </w:tcPr>
          <w:p w14:paraId="199B169F" w14:textId="77777777" w:rsidR="009B31F9" w:rsidRPr="009B31F9" w:rsidRDefault="009B31F9" w:rsidP="009B31F9">
            <w:r w:rsidRPr="009B31F9">
              <w:t>EMA</w:t>
            </w:r>
          </w:p>
        </w:tc>
        <w:tc>
          <w:tcPr>
            <w:tcW w:w="0" w:type="auto"/>
            <w:hideMark/>
          </w:tcPr>
          <w:p w14:paraId="6DBF9904" w14:textId="77777777" w:rsidR="009B31F9" w:rsidRPr="009B31F9" w:rsidRDefault="009B31F9" w:rsidP="009B31F9">
            <w:r w:rsidRPr="009B31F9">
              <w:t>Scientific justification for all indications</w:t>
            </w:r>
          </w:p>
        </w:tc>
      </w:tr>
      <w:tr w:rsidR="009B31F9" w:rsidRPr="009B31F9" w14:paraId="78D68DB1" w14:textId="77777777" w:rsidTr="0060315D">
        <w:tc>
          <w:tcPr>
            <w:tcW w:w="0" w:type="auto"/>
            <w:hideMark/>
          </w:tcPr>
          <w:p w14:paraId="38B2660E" w14:textId="77777777" w:rsidR="009B31F9" w:rsidRPr="009B31F9" w:rsidRDefault="009B31F9" w:rsidP="009B31F9">
            <w:r w:rsidRPr="009B31F9">
              <w:t>WHO</w:t>
            </w:r>
          </w:p>
        </w:tc>
        <w:tc>
          <w:tcPr>
            <w:tcW w:w="0" w:type="auto"/>
            <w:hideMark/>
          </w:tcPr>
          <w:p w14:paraId="2F01F311" w14:textId="77777777" w:rsidR="009B31F9" w:rsidRPr="009B31F9" w:rsidRDefault="009B31F9" w:rsidP="009B31F9">
            <w:r w:rsidRPr="009B31F9">
              <w:t>Global harmonization of biosimilar standards</w:t>
            </w:r>
          </w:p>
        </w:tc>
      </w:tr>
      <w:tr w:rsidR="009B31F9" w:rsidRPr="009B31F9" w14:paraId="513AC7EC" w14:textId="77777777" w:rsidTr="0060315D">
        <w:tc>
          <w:tcPr>
            <w:tcW w:w="0" w:type="auto"/>
            <w:hideMark/>
          </w:tcPr>
          <w:p w14:paraId="5A06BA2F" w14:textId="77777777" w:rsidR="009B31F9" w:rsidRPr="009B31F9" w:rsidRDefault="009B31F9" w:rsidP="009B31F9">
            <w:r w:rsidRPr="009B31F9">
              <w:t>Health Canada</w:t>
            </w:r>
          </w:p>
        </w:tc>
        <w:tc>
          <w:tcPr>
            <w:tcW w:w="0" w:type="auto"/>
            <w:hideMark/>
          </w:tcPr>
          <w:p w14:paraId="4F2172B7" w14:textId="77777777" w:rsidR="009B31F9" w:rsidRPr="009B31F9" w:rsidRDefault="009B31F9" w:rsidP="009B31F9">
            <w:r w:rsidRPr="009B31F9">
              <w:t>Risk-based extrapolation framework</w:t>
            </w:r>
          </w:p>
        </w:tc>
      </w:tr>
    </w:tbl>
    <w:p w14:paraId="48E7D2D1" w14:textId="77777777" w:rsidR="009B31F9" w:rsidRPr="009B31F9" w:rsidRDefault="009B31F9" w:rsidP="0060315D">
      <w:pPr>
        <w:pStyle w:val="Heading2"/>
      </w:pPr>
      <w:r w:rsidRPr="009B31F9">
        <w:t>Core Scientific Principles Supporting Extrapolation</w:t>
      </w:r>
    </w:p>
    <w:p w14:paraId="008F6D14" w14:textId="77777777" w:rsidR="009B31F9" w:rsidRPr="009B31F9" w:rsidRDefault="009B31F9" w:rsidP="009B31F9">
      <w:pPr>
        <w:rPr>
          <w:b/>
          <w:bCs/>
        </w:rPr>
      </w:pPr>
      <w:r w:rsidRPr="009B31F9">
        <w:rPr>
          <w:b/>
          <w:bCs/>
        </w:rPr>
        <w:t>1. Totality Of Evidence Approach</w:t>
      </w:r>
    </w:p>
    <w:p w14:paraId="195840E1" w14:textId="77777777" w:rsidR="009B31F9" w:rsidRPr="009B31F9" w:rsidRDefault="009B31F9" w:rsidP="009B31F9">
      <w:r w:rsidRPr="009B31F9">
        <w:t xml:space="preserve">Regulatory decisions are based on </w:t>
      </w:r>
      <w:r w:rsidRPr="009B31F9">
        <w:rPr>
          <w:b/>
          <w:bCs/>
        </w:rPr>
        <w:t>comprehensive data integration</w:t>
      </w:r>
      <w:r w:rsidRPr="009B31F9">
        <w:t>, including:</w:t>
      </w:r>
    </w:p>
    <w:p w14:paraId="69BDBC72" w14:textId="77777777" w:rsidR="009B31F9" w:rsidRPr="009B31F9" w:rsidRDefault="009B31F9" w:rsidP="009B31F9">
      <w:pPr>
        <w:numPr>
          <w:ilvl w:val="0"/>
          <w:numId w:val="2"/>
        </w:numPr>
      </w:pPr>
      <w:r w:rsidRPr="009B31F9">
        <w:t xml:space="preserve">Analytical similarity </w:t>
      </w:r>
    </w:p>
    <w:p w14:paraId="2EF35C69" w14:textId="77777777" w:rsidR="009B31F9" w:rsidRPr="009B31F9" w:rsidRDefault="009B31F9" w:rsidP="009B31F9">
      <w:pPr>
        <w:numPr>
          <w:ilvl w:val="0"/>
          <w:numId w:val="2"/>
        </w:numPr>
      </w:pPr>
      <w:r w:rsidRPr="009B31F9">
        <w:t xml:space="preserve">Non-clinical studies </w:t>
      </w:r>
    </w:p>
    <w:p w14:paraId="492CF505" w14:textId="77777777" w:rsidR="009B31F9" w:rsidRPr="009B31F9" w:rsidRDefault="009B31F9" w:rsidP="009B31F9">
      <w:pPr>
        <w:numPr>
          <w:ilvl w:val="0"/>
          <w:numId w:val="2"/>
        </w:numPr>
      </w:pPr>
      <w:r w:rsidRPr="009B31F9">
        <w:t xml:space="preserve">Clinical pharmacology </w:t>
      </w:r>
    </w:p>
    <w:p w14:paraId="5CC0A897" w14:textId="77777777" w:rsidR="009B31F9" w:rsidRPr="009B31F9" w:rsidRDefault="009B31F9" w:rsidP="009B31F9">
      <w:pPr>
        <w:numPr>
          <w:ilvl w:val="0"/>
          <w:numId w:val="2"/>
        </w:numPr>
      </w:pPr>
      <w:r w:rsidRPr="009B31F9">
        <w:t xml:space="preserve">Immunogenicity </w:t>
      </w:r>
    </w:p>
    <w:p w14:paraId="25BCF272" w14:textId="77777777" w:rsidR="009B31F9" w:rsidRPr="009B31F9" w:rsidRDefault="009B31F9" w:rsidP="009B31F9">
      <w:pPr>
        <w:rPr>
          <w:b/>
          <w:bCs/>
        </w:rPr>
      </w:pPr>
      <w:r w:rsidRPr="009B31F9">
        <w:rPr>
          <w:b/>
          <w:bCs/>
        </w:rPr>
        <w:t>2. Mechanism Of Action (</w:t>
      </w:r>
      <w:proofErr w:type="spellStart"/>
      <w:r w:rsidRPr="009B31F9">
        <w:rPr>
          <w:b/>
          <w:bCs/>
        </w:rPr>
        <w:t>MoA</w:t>
      </w:r>
      <w:proofErr w:type="spellEnd"/>
      <w:r w:rsidRPr="009B31F9">
        <w:rPr>
          <w:b/>
          <w:bCs/>
        </w:rPr>
        <w:t>)</w:t>
      </w:r>
    </w:p>
    <w:p w14:paraId="5CADC698" w14:textId="77777777" w:rsidR="009B31F9" w:rsidRPr="009B31F9" w:rsidRDefault="009B31F9" w:rsidP="009B31F9">
      <w:pPr>
        <w:numPr>
          <w:ilvl w:val="0"/>
          <w:numId w:val="3"/>
        </w:numPr>
      </w:pPr>
      <w:r w:rsidRPr="009B31F9">
        <w:t xml:space="preserve">Consistency of </w:t>
      </w:r>
      <w:proofErr w:type="spellStart"/>
      <w:r w:rsidRPr="009B31F9">
        <w:t>MoA</w:t>
      </w:r>
      <w:proofErr w:type="spellEnd"/>
      <w:r w:rsidRPr="009B31F9">
        <w:t xml:space="preserve"> across indications is critical </w:t>
      </w:r>
    </w:p>
    <w:p w14:paraId="11A8A47E" w14:textId="77777777" w:rsidR="009B31F9" w:rsidRPr="009B31F9" w:rsidRDefault="009B31F9" w:rsidP="009B31F9">
      <w:pPr>
        <w:numPr>
          <w:ilvl w:val="0"/>
          <w:numId w:val="3"/>
        </w:numPr>
      </w:pPr>
      <w:r w:rsidRPr="009B31F9">
        <w:t xml:space="preserve">Must demonstrate similar receptor binding and biological activity </w:t>
      </w:r>
    </w:p>
    <w:p w14:paraId="5EA63F61" w14:textId="77777777" w:rsidR="009B31F9" w:rsidRPr="009B31F9" w:rsidRDefault="009B31F9" w:rsidP="009B31F9">
      <w:pPr>
        <w:rPr>
          <w:b/>
          <w:bCs/>
        </w:rPr>
      </w:pPr>
      <w:r w:rsidRPr="009B31F9">
        <w:rPr>
          <w:b/>
          <w:bCs/>
        </w:rPr>
        <w:t>3. Pharmacokinetics (PK) And Pharmacodynamics (PD)</w:t>
      </w:r>
    </w:p>
    <w:p w14:paraId="2ADA58E3" w14:textId="77777777" w:rsidR="009B31F9" w:rsidRPr="009B31F9" w:rsidRDefault="009B31F9" w:rsidP="009B31F9">
      <w:pPr>
        <w:numPr>
          <w:ilvl w:val="0"/>
          <w:numId w:val="4"/>
        </w:numPr>
      </w:pPr>
      <w:r w:rsidRPr="009B31F9">
        <w:t xml:space="preserve">Comparable absorption, distribution, metabolism, and excretion </w:t>
      </w:r>
    </w:p>
    <w:p w14:paraId="1590BE7B" w14:textId="77777777" w:rsidR="009B31F9" w:rsidRPr="009B31F9" w:rsidRDefault="009B31F9" w:rsidP="009B31F9">
      <w:pPr>
        <w:numPr>
          <w:ilvl w:val="0"/>
          <w:numId w:val="4"/>
        </w:numPr>
      </w:pPr>
      <w:r w:rsidRPr="009B31F9">
        <w:t xml:space="preserve">Consistent PD markers across populations </w:t>
      </w:r>
    </w:p>
    <w:p w14:paraId="217EDCE3" w14:textId="77777777" w:rsidR="009B31F9" w:rsidRPr="009B31F9" w:rsidRDefault="009B31F9" w:rsidP="009B31F9">
      <w:pPr>
        <w:rPr>
          <w:b/>
          <w:bCs/>
        </w:rPr>
      </w:pPr>
      <w:r w:rsidRPr="009B31F9">
        <w:rPr>
          <w:b/>
          <w:bCs/>
        </w:rPr>
        <w:t>4. Immunogenicity Assessment</w:t>
      </w:r>
    </w:p>
    <w:p w14:paraId="1AECBAB9" w14:textId="77777777" w:rsidR="009B31F9" w:rsidRPr="009B31F9" w:rsidRDefault="009B31F9" w:rsidP="009B31F9">
      <w:pPr>
        <w:numPr>
          <w:ilvl w:val="0"/>
          <w:numId w:val="5"/>
        </w:numPr>
      </w:pPr>
      <w:r w:rsidRPr="009B31F9">
        <w:t xml:space="preserve">Evaluation of immune response risks </w:t>
      </w:r>
    </w:p>
    <w:p w14:paraId="06C3FEE9" w14:textId="77777777" w:rsidR="009B31F9" w:rsidRPr="009B31F9" w:rsidRDefault="009B31F9" w:rsidP="009B31F9">
      <w:pPr>
        <w:numPr>
          <w:ilvl w:val="0"/>
          <w:numId w:val="5"/>
        </w:numPr>
      </w:pPr>
      <w:r w:rsidRPr="009B31F9">
        <w:t xml:space="preserve">Comparable immunogenicity profiles across indications </w:t>
      </w:r>
    </w:p>
    <w:p w14:paraId="1322F4F4" w14:textId="77777777" w:rsidR="009B31F9" w:rsidRPr="009B31F9" w:rsidRDefault="009B31F9" w:rsidP="009B31F9">
      <w:pPr>
        <w:rPr>
          <w:b/>
          <w:bCs/>
        </w:rPr>
      </w:pPr>
      <w:r w:rsidRPr="009B31F9">
        <w:rPr>
          <w:b/>
          <w:bCs/>
        </w:rPr>
        <w:lastRenderedPageBreak/>
        <w:t>5. Safety And Efficacy Profile</w:t>
      </w:r>
    </w:p>
    <w:p w14:paraId="3F1BDDA0" w14:textId="77777777" w:rsidR="009B31F9" w:rsidRPr="009B31F9" w:rsidRDefault="009B31F9" w:rsidP="009B31F9">
      <w:pPr>
        <w:numPr>
          <w:ilvl w:val="0"/>
          <w:numId w:val="6"/>
        </w:numPr>
      </w:pPr>
      <w:r w:rsidRPr="009B31F9">
        <w:t xml:space="preserve">No clinically meaningful differences </w:t>
      </w:r>
    </w:p>
    <w:p w14:paraId="2B122AAD" w14:textId="77777777" w:rsidR="009B31F9" w:rsidRPr="009B31F9" w:rsidRDefault="009B31F9" w:rsidP="009B31F9">
      <w:pPr>
        <w:numPr>
          <w:ilvl w:val="0"/>
          <w:numId w:val="6"/>
        </w:numPr>
      </w:pPr>
      <w:r w:rsidRPr="009B31F9">
        <w:t xml:space="preserve">Comparable adverse event profiles </w:t>
      </w:r>
    </w:p>
    <w:p w14:paraId="4A0E57CC" w14:textId="617FFF70" w:rsidR="009B31F9" w:rsidRPr="009B31F9" w:rsidRDefault="009B31F9" w:rsidP="0060315D">
      <w:pPr>
        <w:pStyle w:val="Heading2"/>
      </w:pPr>
      <w:r w:rsidRPr="009B31F9">
        <w:t xml:space="preserve">Stepwise Approach </w:t>
      </w:r>
      <w:r w:rsidR="0060315D" w:rsidRPr="009B31F9">
        <w:t>to</w:t>
      </w:r>
      <w:r w:rsidRPr="009B31F9">
        <w:t xml:space="preserve"> Biosimilar Extrapolation</w:t>
      </w:r>
    </w:p>
    <w:tbl>
      <w:tblPr>
        <w:tblStyle w:val="TableGrid"/>
        <w:tblW w:w="0" w:type="auto"/>
        <w:tblLook w:val="04A0" w:firstRow="1" w:lastRow="0" w:firstColumn="1" w:lastColumn="0" w:noHBand="0" w:noVBand="1"/>
      </w:tblPr>
      <w:tblGrid>
        <w:gridCol w:w="2543"/>
        <w:gridCol w:w="4581"/>
      </w:tblGrid>
      <w:tr w:rsidR="009B31F9" w:rsidRPr="009B31F9" w14:paraId="3261FD8D" w14:textId="77777777" w:rsidTr="0060315D">
        <w:tc>
          <w:tcPr>
            <w:tcW w:w="0" w:type="auto"/>
            <w:shd w:val="clear" w:color="auto" w:fill="DAE9F7" w:themeFill="text2" w:themeFillTint="1A"/>
            <w:hideMark/>
          </w:tcPr>
          <w:p w14:paraId="234B1988" w14:textId="77777777" w:rsidR="009B31F9" w:rsidRPr="009B31F9" w:rsidRDefault="009B31F9" w:rsidP="009B31F9">
            <w:pPr>
              <w:rPr>
                <w:b/>
                <w:bCs/>
              </w:rPr>
            </w:pPr>
            <w:r w:rsidRPr="009B31F9">
              <w:rPr>
                <w:b/>
                <w:bCs/>
              </w:rPr>
              <w:t>Step</w:t>
            </w:r>
          </w:p>
        </w:tc>
        <w:tc>
          <w:tcPr>
            <w:tcW w:w="0" w:type="auto"/>
            <w:shd w:val="clear" w:color="auto" w:fill="DAE9F7" w:themeFill="text2" w:themeFillTint="1A"/>
            <w:hideMark/>
          </w:tcPr>
          <w:p w14:paraId="131F49E1" w14:textId="77777777" w:rsidR="009B31F9" w:rsidRPr="009B31F9" w:rsidRDefault="009B31F9" w:rsidP="009B31F9">
            <w:pPr>
              <w:rPr>
                <w:b/>
                <w:bCs/>
              </w:rPr>
            </w:pPr>
            <w:r w:rsidRPr="009B31F9">
              <w:rPr>
                <w:b/>
                <w:bCs/>
              </w:rPr>
              <w:t>Description</w:t>
            </w:r>
          </w:p>
        </w:tc>
      </w:tr>
      <w:tr w:rsidR="009B31F9" w:rsidRPr="009B31F9" w14:paraId="3226A8D8" w14:textId="77777777" w:rsidTr="0060315D">
        <w:tc>
          <w:tcPr>
            <w:tcW w:w="0" w:type="auto"/>
            <w:hideMark/>
          </w:tcPr>
          <w:p w14:paraId="7448E8A1" w14:textId="77777777" w:rsidR="009B31F9" w:rsidRPr="009B31F9" w:rsidRDefault="009B31F9" w:rsidP="009B31F9">
            <w:r w:rsidRPr="009B31F9">
              <w:t>Analytical Studies</w:t>
            </w:r>
          </w:p>
        </w:tc>
        <w:tc>
          <w:tcPr>
            <w:tcW w:w="0" w:type="auto"/>
            <w:hideMark/>
          </w:tcPr>
          <w:p w14:paraId="2C116399" w14:textId="77777777" w:rsidR="009B31F9" w:rsidRPr="009B31F9" w:rsidRDefault="009B31F9" w:rsidP="009B31F9">
            <w:r w:rsidRPr="009B31F9">
              <w:t>Structural and functional characterization</w:t>
            </w:r>
          </w:p>
        </w:tc>
      </w:tr>
      <w:tr w:rsidR="009B31F9" w:rsidRPr="009B31F9" w14:paraId="62DD1950" w14:textId="77777777" w:rsidTr="0060315D">
        <w:tc>
          <w:tcPr>
            <w:tcW w:w="0" w:type="auto"/>
            <w:hideMark/>
          </w:tcPr>
          <w:p w14:paraId="10282C28" w14:textId="77777777" w:rsidR="009B31F9" w:rsidRPr="009B31F9" w:rsidRDefault="009B31F9" w:rsidP="009B31F9">
            <w:r w:rsidRPr="009B31F9">
              <w:t>Non-Clinical Studies</w:t>
            </w:r>
          </w:p>
        </w:tc>
        <w:tc>
          <w:tcPr>
            <w:tcW w:w="0" w:type="auto"/>
            <w:hideMark/>
          </w:tcPr>
          <w:p w14:paraId="7032AB28" w14:textId="77777777" w:rsidR="009B31F9" w:rsidRPr="009B31F9" w:rsidRDefault="009B31F9" w:rsidP="009B31F9">
            <w:r w:rsidRPr="009B31F9">
              <w:t>Comparative in vitro and in vivo data</w:t>
            </w:r>
          </w:p>
        </w:tc>
      </w:tr>
      <w:tr w:rsidR="009B31F9" w:rsidRPr="009B31F9" w14:paraId="13173450" w14:textId="77777777" w:rsidTr="0060315D">
        <w:tc>
          <w:tcPr>
            <w:tcW w:w="0" w:type="auto"/>
            <w:hideMark/>
          </w:tcPr>
          <w:p w14:paraId="5720EE99" w14:textId="77777777" w:rsidR="009B31F9" w:rsidRPr="009B31F9" w:rsidRDefault="009B31F9" w:rsidP="009B31F9">
            <w:r w:rsidRPr="009B31F9">
              <w:t>Clinical Pharmacology</w:t>
            </w:r>
          </w:p>
        </w:tc>
        <w:tc>
          <w:tcPr>
            <w:tcW w:w="0" w:type="auto"/>
            <w:hideMark/>
          </w:tcPr>
          <w:p w14:paraId="256E49F0" w14:textId="77777777" w:rsidR="009B31F9" w:rsidRPr="009B31F9" w:rsidRDefault="009B31F9" w:rsidP="009B31F9">
            <w:r w:rsidRPr="009B31F9">
              <w:t>PK/PD comparability studies</w:t>
            </w:r>
          </w:p>
        </w:tc>
      </w:tr>
      <w:tr w:rsidR="009B31F9" w:rsidRPr="009B31F9" w14:paraId="60776691" w14:textId="77777777" w:rsidTr="0060315D">
        <w:tc>
          <w:tcPr>
            <w:tcW w:w="0" w:type="auto"/>
            <w:hideMark/>
          </w:tcPr>
          <w:p w14:paraId="7C3E9668" w14:textId="77777777" w:rsidR="009B31F9" w:rsidRPr="009B31F9" w:rsidRDefault="009B31F9" w:rsidP="009B31F9">
            <w:r w:rsidRPr="009B31F9">
              <w:t>Clinical Studies</w:t>
            </w:r>
          </w:p>
        </w:tc>
        <w:tc>
          <w:tcPr>
            <w:tcW w:w="0" w:type="auto"/>
            <w:hideMark/>
          </w:tcPr>
          <w:p w14:paraId="081D2093" w14:textId="77777777" w:rsidR="009B31F9" w:rsidRPr="009B31F9" w:rsidRDefault="009B31F9" w:rsidP="009B31F9">
            <w:r w:rsidRPr="009B31F9">
              <w:t>Confirmatory study in sensitive population</w:t>
            </w:r>
          </w:p>
        </w:tc>
      </w:tr>
      <w:tr w:rsidR="009B31F9" w:rsidRPr="009B31F9" w14:paraId="6D75A9A0" w14:textId="77777777" w:rsidTr="0060315D">
        <w:tc>
          <w:tcPr>
            <w:tcW w:w="0" w:type="auto"/>
            <w:hideMark/>
          </w:tcPr>
          <w:p w14:paraId="5FA6A73C" w14:textId="77777777" w:rsidR="009B31F9" w:rsidRPr="009B31F9" w:rsidRDefault="009B31F9" w:rsidP="009B31F9">
            <w:r w:rsidRPr="009B31F9">
              <w:t>Scientific Justification</w:t>
            </w:r>
          </w:p>
        </w:tc>
        <w:tc>
          <w:tcPr>
            <w:tcW w:w="0" w:type="auto"/>
            <w:hideMark/>
          </w:tcPr>
          <w:p w14:paraId="176A8B7B" w14:textId="77777777" w:rsidR="009B31F9" w:rsidRPr="009B31F9" w:rsidRDefault="009B31F9" w:rsidP="009B31F9">
            <w:r w:rsidRPr="009B31F9">
              <w:t>Rationale for extrapolation</w:t>
            </w:r>
          </w:p>
        </w:tc>
      </w:tr>
    </w:tbl>
    <w:p w14:paraId="56D718C9" w14:textId="77777777" w:rsidR="009B31F9" w:rsidRPr="009B31F9" w:rsidRDefault="009B31F9" w:rsidP="0060315D">
      <w:pPr>
        <w:spacing w:before="240"/>
        <w:rPr>
          <w:b/>
          <w:bCs/>
        </w:rPr>
      </w:pPr>
      <w:r w:rsidRPr="009B31F9">
        <w:rPr>
          <w:b/>
          <w:bCs/>
        </w:rPr>
        <w:t>Benefits Of Biosimilar Extrapolation</w:t>
      </w:r>
    </w:p>
    <w:p w14:paraId="14DEB030" w14:textId="77777777" w:rsidR="009B31F9" w:rsidRPr="009B31F9" w:rsidRDefault="009B31F9" w:rsidP="009B31F9">
      <w:pPr>
        <w:numPr>
          <w:ilvl w:val="0"/>
          <w:numId w:val="7"/>
        </w:numPr>
      </w:pPr>
      <w:r w:rsidRPr="009B31F9">
        <w:rPr>
          <w:b/>
          <w:bCs/>
        </w:rPr>
        <w:t>Reduced Development Time</w:t>
      </w:r>
      <w:r w:rsidRPr="009B31F9">
        <w:t xml:space="preserve"> – Eliminates redundant trials </w:t>
      </w:r>
    </w:p>
    <w:p w14:paraId="3E19DAC2" w14:textId="77777777" w:rsidR="009B31F9" w:rsidRPr="009B31F9" w:rsidRDefault="009B31F9" w:rsidP="009B31F9">
      <w:pPr>
        <w:numPr>
          <w:ilvl w:val="0"/>
          <w:numId w:val="7"/>
        </w:numPr>
      </w:pPr>
      <w:r w:rsidRPr="009B31F9">
        <w:rPr>
          <w:b/>
          <w:bCs/>
        </w:rPr>
        <w:t>Cost Efficiency</w:t>
      </w:r>
      <w:r w:rsidRPr="009B31F9">
        <w:t xml:space="preserve"> – Lowers R&amp;D expenditure </w:t>
      </w:r>
    </w:p>
    <w:p w14:paraId="00EA1C99" w14:textId="77777777" w:rsidR="009B31F9" w:rsidRPr="009B31F9" w:rsidRDefault="009B31F9" w:rsidP="009B31F9">
      <w:pPr>
        <w:numPr>
          <w:ilvl w:val="0"/>
          <w:numId w:val="7"/>
        </w:numPr>
      </w:pPr>
      <w:r w:rsidRPr="009B31F9">
        <w:rPr>
          <w:b/>
          <w:bCs/>
        </w:rPr>
        <w:t>Faster Market Access</w:t>
      </w:r>
      <w:r w:rsidRPr="009B31F9">
        <w:t xml:space="preserve"> – Accelerates approvals </w:t>
      </w:r>
    </w:p>
    <w:p w14:paraId="3057BE13" w14:textId="77777777" w:rsidR="009B31F9" w:rsidRPr="009B31F9" w:rsidRDefault="009B31F9" w:rsidP="009B31F9">
      <w:pPr>
        <w:numPr>
          <w:ilvl w:val="0"/>
          <w:numId w:val="7"/>
        </w:numPr>
      </w:pPr>
      <w:r w:rsidRPr="009B31F9">
        <w:rPr>
          <w:b/>
          <w:bCs/>
        </w:rPr>
        <w:t>Improved Patient Access</w:t>
      </w:r>
      <w:r w:rsidRPr="009B31F9">
        <w:t xml:space="preserve"> – Expands availability of biologics </w:t>
      </w:r>
    </w:p>
    <w:p w14:paraId="3F56F205" w14:textId="7612E31F" w:rsidR="009B31F9" w:rsidRPr="009B31F9" w:rsidRDefault="009B31F9" w:rsidP="0060315D">
      <w:pPr>
        <w:pStyle w:val="Heading2"/>
      </w:pPr>
      <w:r w:rsidRPr="009B31F9">
        <w:t xml:space="preserve">Role Of Toxicological Risk Assessment </w:t>
      </w:r>
      <w:r w:rsidR="0060315D">
        <w:t>i</w:t>
      </w:r>
      <w:r w:rsidRPr="009B31F9">
        <w:t>n Extrapolation</w:t>
      </w:r>
    </w:p>
    <w:p w14:paraId="058F887E" w14:textId="77777777" w:rsidR="009B31F9" w:rsidRPr="009B31F9" w:rsidRDefault="009B31F9" w:rsidP="009B31F9">
      <w:r w:rsidRPr="009B31F9">
        <w:t xml:space="preserve">Toxicological evaluation is critical to ensure </w:t>
      </w:r>
      <w:r w:rsidRPr="009B31F9">
        <w:rPr>
          <w:b/>
          <w:bCs/>
        </w:rPr>
        <w:t>consistent safety profiles</w:t>
      </w:r>
      <w:r w:rsidRPr="009B31F9">
        <w:t xml:space="preserve"> across all extrapolated indications.</w:t>
      </w:r>
    </w:p>
    <w:p w14:paraId="6E73FD52" w14:textId="77777777" w:rsidR="009B31F9" w:rsidRPr="009B31F9" w:rsidRDefault="009B31F9" w:rsidP="009B31F9">
      <w:pPr>
        <w:rPr>
          <w:b/>
          <w:bCs/>
        </w:rPr>
      </w:pPr>
      <w:r w:rsidRPr="009B31F9">
        <w:rPr>
          <w:b/>
          <w:bCs/>
        </w:rPr>
        <w:t>Key Components:</w:t>
      </w:r>
    </w:p>
    <w:tbl>
      <w:tblPr>
        <w:tblStyle w:val="TableGrid"/>
        <w:tblW w:w="0" w:type="auto"/>
        <w:tblLook w:val="04A0" w:firstRow="1" w:lastRow="0" w:firstColumn="1" w:lastColumn="0" w:noHBand="0" w:noVBand="1"/>
      </w:tblPr>
      <w:tblGrid>
        <w:gridCol w:w="2664"/>
        <w:gridCol w:w="3967"/>
      </w:tblGrid>
      <w:tr w:rsidR="009B31F9" w:rsidRPr="009B31F9" w14:paraId="5B5A5DFF" w14:textId="77777777" w:rsidTr="0060315D">
        <w:tc>
          <w:tcPr>
            <w:tcW w:w="0" w:type="auto"/>
            <w:shd w:val="clear" w:color="auto" w:fill="DAE9F7" w:themeFill="text2" w:themeFillTint="1A"/>
            <w:hideMark/>
          </w:tcPr>
          <w:p w14:paraId="72CA31CA" w14:textId="77777777" w:rsidR="009B31F9" w:rsidRPr="009B31F9" w:rsidRDefault="009B31F9" w:rsidP="009B31F9">
            <w:pPr>
              <w:rPr>
                <w:b/>
                <w:bCs/>
              </w:rPr>
            </w:pPr>
            <w:r w:rsidRPr="009B31F9">
              <w:rPr>
                <w:b/>
                <w:bCs/>
              </w:rPr>
              <w:t>Assessment Area</w:t>
            </w:r>
          </w:p>
        </w:tc>
        <w:tc>
          <w:tcPr>
            <w:tcW w:w="0" w:type="auto"/>
            <w:shd w:val="clear" w:color="auto" w:fill="DAE9F7" w:themeFill="text2" w:themeFillTint="1A"/>
            <w:hideMark/>
          </w:tcPr>
          <w:p w14:paraId="51E50E17" w14:textId="77777777" w:rsidR="009B31F9" w:rsidRPr="009B31F9" w:rsidRDefault="009B31F9" w:rsidP="009B31F9">
            <w:pPr>
              <w:rPr>
                <w:b/>
                <w:bCs/>
              </w:rPr>
            </w:pPr>
            <w:r w:rsidRPr="009B31F9">
              <w:rPr>
                <w:b/>
                <w:bCs/>
              </w:rPr>
              <w:t>Purpose</w:t>
            </w:r>
          </w:p>
        </w:tc>
      </w:tr>
      <w:tr w:rsidR="009B31F9" w:rsidRPr="009B31F9" w14:paraId="4A2CAB39" w14:textId="77777777" w:rsidTr="0060315D">
        <w:tc>
          <w:tcPr>
            <w:tcW w:w="0" w:type="auto"/>
            <w:hideMark/>
          </w:tcPr>
          <w:p w14:paraId="34D4F114" w14:textId="77777777" w:rsidR="009B31F9" w:rsidRPr="009B31F9" w:rsidRDefault="009B31F9" w:rsidP="009B31F9">
            <w:r w:rsidRPr="009B31F9">
              <w:t>Comparative Toxicology</w:t>
            </w:r>
          </w:p>
        </w:tc>
        <w:tc>
          <w:tcPr>
            <w:tcW w:w="0" w:type="auto"/>
            <w:hideMark/>
          </w:tcPr>
          <w:p w14:paraId="68316641" w14:textId="77777777" w:rsidR="009B31F9" w:rsidRPr="009B31F9" w:rsidRDefault="009B31F9" w:rsidP="009B31F9">
            <w:r w:rsidRPr="009B31F9">
              <w:t>Identify potential toxicity differences</w:t>
            </w:r>
          </w:p>
        </w:tc>
      </w:tr>
      <w:tr w:rsidR="009B31F9" w:rsidRPr="009B31F9" w14:paraId="76DF367A" w14:textId="77777777" w:rsidTr="0060315D">
        <w:tc>
          <w:tcPr>
            <w:tcW w:w="0" w:type="auto"/>
            <w:hideMark/>
          </w:tcPr>
          <w:p w14:paraId="2EB17ADB" w14:textId="77777777" w:rsidR="009B31F9" w:rsidRPr="009B31F9" w:rsidRDefault="009B31F9" w:rsidP="009B31F9">
            <w:r w:rsidRPr="009B31F9">
              <w:t>Species Extrapolation</w:t>
            </w:r>
          </w:p>
        </w:tc>
        <w:tc>
          <w:tcPr>
            <w:tcW w:w="0" w:type="auto"/>
            <w:hideMark/>
          </w:tcPr>
          <w:p w14:paraId="69C2F288" w14:textId="77777777" w:rsidR="009B31F9" w:rsidRPr="009B31F9" w:rsidRDefault="009B31F9" w:rsidP="009B31F9">
            <w:r w:rsidRPr="009B31F9">
              <w:t>Translate animal data to human risk</w:t>
            </w:r>
          </w:p>
        </w:tc>
      </w:tr>
      <w:tr w:rsidR="009B31F9" w:rsidRPr="009B31F9" w14:paraId="1B1F3C8B" w14:textId="77777777" w:rsidTr="0060315D">
        <w:tc>
          <w:tcPr>
            <w:tcW w:w="0" w:type="auto"/>
            <w:hideMark/>
          </w:tcPr>
          <w:p w14:paraId="6C39D5D0" w14:textId="77777777" w:rsidR="009B31F9" w:rsidRPr="009B31F9" w:rsidRDefault="009B31F9" w:rsidP="009B31F9">
            <w:r w:rsidRPr="009B31F9">
              <w:t>Immunogenicity Risk</w:t>
            </w:r>
          </w:p>
        </w:tc>
        <w:tc>
          <w:tcPr>
            <w:tcW w:w="0" w:type="auto"/>
            <w:hideMark/>
          </w:tcPr>
          <w:p w14:paraId="01CC7132" w14:textId="77777777" w:rsidR="009B31F9" w:rsidRPr="009B31F9" w:rsidRDefault="009B31F9" w:rsidP="009B31F9">
            <w:r w:rsidRPr="009B31F9">
              <w:t>Assess immune-mediated toxicity</w:t>
            </w:r>
          </w:p>
        </w:tc>
      </w:tr>
      <w:tr w:rsidR="009B31F9" w:rsidRPr="009B31F9" w14:paraId="3EFF476C" w14:textId="77777777" w:rsidTr="0060315D">
        <w:tc>
          <w:tcPr>
            <w:tcW w:w="0" w:type="auto"/>
            <w:hideMark/>
          </w:tcPr>
          <w:p w14:paraId="18626EE0" w14:textId="77777777" w:rsidR="009B31F9" w:rsidRPr="009B31F9" w:rsidRDefault="009B31F9" w:rsidP="009B31F9">
            <w:r w:rsidRPr="009B31F9">
              <w:t>Dose Extrapolation</w:t>
            </w:r>
          </w:p>
        </w:tc>
        <w:tc>
          <w:tcPr>
            <w:tcW w:w="0" w:type="auto"/>
            <w:hideMark/>
          </w:tcPr>
          <w:p w14:paraId="134451B5" w14:textId="77777777" w:rsidR="009B31F9" w:rsidRPr="009B31F9" w:rsidRDefault="009B31F9" w:rsidP="009B31F9">
            <w:r w:rsidRPr="009B31F9">
              <w:t>Maintain safety margins</w:t>
            </w:r>
          </w:p>
        </w:tc>
      </w:tr>
      <w:tr w:rsidR="009B31F9" w:rsidRPr="009B31F9" w14:paraId="6C96A837" w14:textId="77777777" w:rsidTr="0060315D">
        <w:tc>
          <w:tcPr>
            <w:tcW w:w="0" w:type="auto"/>
            <w:hideMark/>
          </w:tcPr>
          <w:p w14:paraId="6263DCB0" w14:textId="77777777" w:rsidR="009B31F9" w:rsidRPr="009B31F9" w:rsidRDefault="009B31F9" w:rsidP="009B31F9">
            <w:r w:rsidRPr="009B31F9">
              <w:t>Long-Term Safety</w:t>
            </w:r>
          </w:p>
        </w:tc>
        <w:tc>
          <w:tcPr>
            <w:tcW w:w="0" w:type="auto"/>
            <w:hideMark/>
          </w:tcPr>
          <w:p w14:paraId="2C163FB4" w14:textId="77777777" w:rsidR="009B31F9" w:rsidRPr="009B31F9" w:rsidRDefault="009B31F9" w:rsidP="009B31F9">
            <w:r w:rsidRPr="009B31F9">
              <w:t>Post-marketing risk monitoring</w:t>
            </w:r>
          </w:p>
        </w:tc>
      </w:tr>
    </w:tbl>
    <w:p w14:paraId="6C48D6B7" w14:textId="06FDDED5" w:rsidR="009B31F9" w:rsidRPr="009B31F9" w:rsidRDefault="009B31F9" w:rsidP="0060315D">
      <w:pPr>
        <w:pStyle w:val="Heading2"/>
      </w:pPr>
      <w:r w:rsidRPr="009B31F9">
        <w:t>Advanced Scientific Considerations</w:t>
      </w:r>
    </w:p>
    <w:p w14:paraId="41622CB5" w14:textId="77777777" w:rsidR="009B31F9" w:rsidRPr="009B31F9" w:rsidRDefault="009B31F9" w:rsidP="009B31F9">
      <w:pPr>
        <w:numPr>
          <w:ilvl w:val="0"/>
          <w:numId w:val="8"/>
        </w:numPr>
      </w:pPr>
      <w:r w:rsidRPr="009B31F9">
        <w:t xml:space="preserve">Integration of </w:t>
      </w:r>
      <w:r w:rsidRPr="009B31F9">
        <w:rPr>
          <w:b/>
          <w:bCs/>
        </w:rPr>
        <w:t>AI-driven biosimilar analytics</w:t>
      </w:r>
      <w:r w:rsidRPr="009B31F9">
        <w:t xml:space="preserve"> </w:t>
      </w:r>
    </w:p>
    <w:p w14:paraId="6E59E9E7" w14:textId="77777777" w:rsidR="009B31F9" w:rsidRPr="009B31F9" w:rsidRDefault="009B31F9" w:rsidP="009B31F9">
      <w:pPr>
        <w:numPr>
          <w:ilvl w:val="0"/>
          <w:numId w:val="8"/>
        </w:numPr>
      </w:pPr>
      <w:r w:rsidRPr="009B31F9">
        <w:t xml:space="preserve">Use of </w:t>
      </w:r>
      <w:r w:rsidRPr="009B31F9">
        <w:rPr>
          <w:b/>
          <w:bCs/>
        </w:rPr>
        <w:t>real-world evidence (RWE)</w:t>
      </w:r>
      <w:r w:rsidRPr="009B31F9">
        <w:t xml:space="preserve"> for extrapolation validation </w:t>
      </w:r>
    </w:p>
    <w:p w14:paraId="0A6F2E12" w14:textId="77777777" w:rsidR="009B31F9" w:rsidRPr="009B31F9" w:rsidRDefault="009B31F9" w:rsidP="009B31F9">
      <w:pPr>
        <w:numPr>
          <w:ilvl w:val="0"/>
          <w:numId w:val="8"/>
        </w:numPr>
      </w:pPr>
      <w:r w:rsidRPr="009B31F9">
        <w:t xml:space="preserve">Advanced </w:t>
      </w:r>
      <w:r w:rsidRPr="009B31F9">
        <w:rPr>
          <w:b/>
          <w:bCs/>
        </w:rPr>
        <w:t>bioanalytical characterization techniques</w:t>
      </w:r>
      <w:r w:rsidRPr="009B31F9">
        <w:t xml:space="preserve"> </w:t>
      </w:r>
    </w:p>
    <w:p w14:paraId="6647126C" w14:textId="77777777" w:rsidR="009B31F9" w:rsidRPr="009B31F9" w:rsidRDefault="009B31F9" w:rsidP="009B31F9">
      <w:pPr>
        <w:numPr>
          <w:ilvl w:val="0"/>
          <w:numId w:val="8"/>
        </w:numPr>
      </w:pPr>
      <w:r w:rsidRPr="009B31F9">
        <w:lastRenderedPageBreak/>
        <w:t xml:space="preserve">Increasing reliance </w:t>
      </w:r>
      <w:proofErr w:type="gramStart"/>
      <w:r w:rsidRPr="009B31F9">
        <w:t xml:space="preserve">on </w:t>
      </w:r>
      <w:r w:rsidRPr="009B31F9">
        <w:rPr>
          <w:b/>
          <w:bCs/>
        </w:rPr>
        <w:t>in</w:t>
      </w:r>
      <w:proofErr w:type="gramEnd"/>
      <w:r w:rsidRPr="009B31F9">
        <w:rPr>
          <w:b/>
          <w:bCs/>
        </w:rPr>
        <w:t xml:space="preserve"> silico modeling and simulation</w:t>
      </w:r>
      <w:r w:rsidRPr="009B31F9">
        <w:t xml:space="preserve"> </w:t>
      </w:r>
    </w:p>
    <w:p w14:paraId="4F9AA7AE" w14:textId="77777777" w:rsidR="009B31F9" w:rsidRPr="009B31F9" w:rsidRDefault="009B31F9" w:rsidP="009B31F9">
      <w:pPr>
        <w:numPr>
          <w:ilvl w:val="0"/>
          <w:numId w:val="8"/>
        </w:numPr>
      </w:pPr>
      <w:r w:rsidRPr="009B31F9">
        <w:t xml:space="preserve">Global harmonization of </w:t>
      </w:r>
      <w:r w:rsidRPr="009B31F9">
        <w:rPr>
          <w:b/>
          <w:bCs/>
        </w:rPr>
        <w:t>biosimilar regulatory pathways</w:t>
      </w:r>
      <w:r w:rsidRPr="009B31F9">
        <w:t xml:space="preserve"> </w:t>
      </w:r>
    </w:p>
    <w:p w14:paraId="0497CDBA" w14:textId="79D7E435" w:rsidR="009B31F9" w:rsidRPr="009B31F9" w:rsidRDefault="009B31F9" w:rsidP="0060315D">
      <w:pPr>
        <w:pStyle w:val="Heading2"/>
      </w:pPr>
      <w:r w:rsidRPr="009B31F9">
        <w:t xml:space="preserve">Common Challenges </w:t>
      </w:r>
      <w:r w:rsidR="0060315D" w:rsidRPr="009B31F9">
        <w:t>in</w:t>
      </w:r>
      <w:r w:rsidRPr="009B31F9">
        <w:t xml:space="preserve"> Biosimilar Extrapolation</w:t>
      </w:r>
    </w:p>
    <w:tbl>
      <w:tblPr>
        <w:tblStyle w:val="TableGrid"/>
        <w:tblW w:w="0" w:type="auto"/>
        <w:tblLook w:val="04A0" w:firstRow="1" w:lastRow="0" w:firstColumn="1" w:lastColumn="0" w:noHBand="0" w:noVBand="1"/>
      </w:tblPr>
      <w:tblGrid>
        <w:gridCol w:w="2814"/>
        <w:gridCol w:w="2558"/>
        <w:gridCol w:w="3978"/>
      </w:tblGrid>
      <w:tr w:rsidR="009B31F9" w:rsidRPr="009B31F9" w14:paraId="4D943F94" w14:textId="77777777" w:rsidTr="0060315D">
        <w:tc>
          <w:tcPr>
            <w:tcW w:w="0" w:type="auto"/>
            <w:shd w:val="clear" w:color="auto" w:fill="DAE9F7" w:themeFill="text2" w:themeFillTint="1A"/>
            <w:hideMark/>
          </w:tcPr>
          <w:p w14:paraId="4EBC1ABB" w14:textId="77777777" w:rsidR="009B31F9" w:rsidRPr="009B31F9" w:rsidRDefault="009B31F9" w:rsidP="009B31F9">
            <w:pPr>
              <w:rPr>
                <w:b/>
                <w:bCs/>
              </w:rPr>
            </w:pPr>
            <w:r w:rsidRPr="009B31F9">
              <w:rPr>
                <w:b/>
                <w:bCs/>
              </w:rPr>
              <w:t>Challenge</w:t>
            </w:r>
          </w:p>
        </w:tc>
        <w:tc>
          <w:tcPr>
            <w:tcW w:w="0" w:type="auto"/>
            <w:shd w:val="clear" w:color="auto" w:fill="DAE9F7" w:themeFill="text2" w:themeFillTint="1A"/>
            <w:hideMark/>
          </w:tcPr>
          <w:p w14:paraId="215A60AF" w14:textId="77777777" w:rsidR="009B31F9" w:rsidRPr="009B31F9" w:rsidRDefault="009B31F9" w:rsidP="009B31F9">
            <w:pPr>
              <w:rPr>
                <w:b/>
                <w:bCs/>
              </w:rPr>
            </w:pPr>
            <w:r w:rsidRPr="009B31F9">
              <w:rPr>
                <w:b/>
                <w:bCs/>
              </w:rPr>
              <w:t>Impact</w:t>
            </w:r>
          </w:p>
        </w:tc>
        <w:tc>
          <w:tcPr>
            <w:tcW w:w="0" w:type="auto"/>
            <w:shd w:val="clear" w:color="auto" w:fill="DAE9F7" w:themeFill="text2" w:themeFillTint="1A"/>
            <w:hideMark/>
          </w:tcPr>
          <w:p w14:paraId="233BF0DE" w14:textId="77777777" w:rsidR="009B31F9" w:rsidRPr="009B31F9" w:rsidRDefault="009B31F9" w:rsidP="009B31F9">
            <w:pPr>
              <w:rPr>
                <w:b/>
                <w:bCs/>
              </w:rPr>
            </w:pPr>
            <w:r w:rsidRPr="009B31F9">
              <w:rPr>
                <w:b/>
                <w:bCs/>
              </w:rPr>
              <w:t>Mitigation Strategy</w:t>
            </w:r>
          </w:p>
        </w:tc>
      </w:tr>
      <w:tr w:rsidR="009B31F9" w:rsidRPr="009B31F9" w14:paraId="41154352" w14:textId="77777777" w:rsidTr="0060315D">
        <w:tc>
          <w:tcPr>
            <w:tcW w:w="0" w:type="auto"/>
            <w:hideMark/>
          </w:tcPr>
          <w:p w14:paraId="4B57DCD1" w14:textId="77777777" w:rsidR="009B31F9" w:rsidRPr="009B31F9" w:rsidRDefault="009B31F9" w:rsidP="009B31F9">
            <w:proofErr w:type="spellStart"/>
            <w:r w:rsidRPr="009B31F9">
              <w:t>MoA</w:t>
            </w:r>
            <w:proofErr w:type="spellEnd"/>
            <w:r w:rsidRPr="009B31F9">
              <w:t xml:space="preserve"> variability</w:t>
            </w:r>
          </w:p>
        </w:tc>
        <w:tc>
          <w:tcPr>
            <w:tcW w:w="0" w:type="auto"/>
            <w:hideMark/>
          </w:tcPr>
          <w:p w14:paraId="04BF25C8" w14:textId="77777777" w:rsidR="009B31F9" w:rsidRPr="009B31F9" w:rsidRDefault="009B31F9" w:rsidP="009B31F9">
            <w:r w:rsidRPr="009B31F9">
              <w:t>Regulatory rejection</w:t>
            </w:r>
          </w:p>
        </w:tc>
        <w:tc>
          <w:tcPr>
            <w:tcW w:w="0" w:type="auto"/>
            <w:hideMark/>
          </w:tcPr>
          <w:p w14:paraId="341913B1" w14:textId="77777777" w:rsidR="009B31F9" w:rsidRPr="009B31F9" w:rsidRDefault="009B31F9" w:rsidP="009B31F9">
            <w:r w:rsidRPr="009B31F9">
              <w:t>Strong mechanistic data</w:t>
            </w:r>
          </w:p>
        </w:tc>
      </w:tr>
      <w:tr w:rsidR="009B31F9" w:rsidRPr="009B31F9" w14:paraId="56C7F758" w14:textId="77777777" w:rsidTr="0060315D">
        <w:tc>
          <w:tcPr>
            <w:tcW w:w="0" w:type="auto"/>
            <w:hideMark/>
          </w:tcPr>
          <w:p w14:paraId="67C46858" w14:textId="77777777" w:rsidR="009B31F9" w:rsidRPr="009B31F9" w:rsidRDefault="009B31F9" w:rsidP="009B31F9">
            <w:r w:rsidRPr="009B31F9">
              <w:t>Immunogenicity concerns</w:t>
            </w:r>
          </w:p>
        </w:tc>
        <w:tc>
          <w:tcPr>
            <w:tcW w:w="0" w:type="auto"/>
            <w:hideMark/>
          </w:tcPr>
          <w:p w14:paraId="74E3E3B6" w14:textId="77777777" w:rsidR="009B31F9" w:rsidRPr="009B31F9" w:rsidRDefault="009B31F9" w:rsidP="009B31F9">
            <w:r w:rsidRPr="009B31F9">
              <w:t>Safety risks</w:t>
            </w:r>
          </w:p>
        </w:tc>
        <w:tc>
          <w:tcPr>
            <w:tcW w:w="0" w:type="auto"/>
            <w:hideMark/>
          </w:tcPr>
          <w:p w14:paraId="65A3C4F6" w14:textId="77777777" w:rsidR="009B31F9" w:rsidRPr="009B31F9" w:rsidRDefault="009B31F9" w:rsidP="009B31F9">
            <w:r w:rsidRPr="009B31F9">
              <w:t>Robust immunogenicity studies</w:t>
            </w:r>
          </w:p>
        </w:tc>
      </w:tr>
      <w:tr w:rsidR="009B31F9" w:rsidRPr="009B31F9" w14:paraId="1415F1BF" w14:textId="77777777" w:rsidTr="0060315D">
        <w:tc>
          <w:tcPr>
            <w:tcW w:w="0" w:type="auto"/>
            <w:hideMark/>
          </w:tcPr>
          <w:p w14:paraId="5068CCF9" w14:textId="77777777" w:rsidR="009B31F9" w:rsidRPr="009B31F9" w:rsidRDefault="009B31F9" w:rsidP="009B31F9">
            <w:r w:rsidRPr="009B31F9">
              <w:t>Insufficient PK/PD data</w:t>
            </w:r>
          </w:p>
        </w:tc>
        <w:tc>
          <w:tcPr>
            <w:tcW w:w="0" w:type="auto"/>
            <w:hideMark/>
          </w:tcPr>
          <w:p w14:paraId="5F8C5CC6" w14:textId="77777777" w:rsidR="009B31F9" w:rsidRPr="009B31F9" w:rsidRDefault="009B31F9" w:rsidP="009B31F9">
            <w:r w:rsidRPr="009B31F9">
              <w:t>Delayed approval</w:t>
            </w:r>
          </w:p>
        </w:tc>
        <w:tc>
          <w:tcPr>
            <w:tcW w:w="0" w:type="auto"/>
            <w:hideMark/>
          </w:tcPr>
          <w:p w14:paraId="26CFFC7C" w14:textId="77777777" w:rsidR="009B31F9" w:rsidRPr="009B31F9" w:rsidRDefault="009B31F9" w:rsidP="009B31F9">
            <w:r w:rsidRPr="009B31F9">
              <w:t>Comprehensive clinical pharmacology</w:t>
            </w:r>
          </w:p>
        </w:tc>
      </w:tr>
      <w:tr w:rsidR="009B31F9" w:rsidRPr="009B31F9" w14:paraId="4B70D401" w14:textId="77777777" w:rsidTr="0060315D">
        <w:tc>
          <w:tcPr>
            <w:tcW w:w="0" w:type="auto"/>
            <w:hideMark/>
          </w:tcPr>
          <w:p w14:paraId="28E7F7EB" w14:textId="77777777" w:rsidR="009B31F9" w:rsidRPr="009B31F9" w:rsidRDefault="009B31F9" w:rsidP="009B31F9">
            <w:r w:rsidRPr="009B31F9">
              <w:t>Data gaps</w:t>
            </w:r>
          </w:p>
        </w:tc>
        <w:tc>
          <w:tcPr>
            <w:tcW w:w="0" w:type="auto"/>
            <w:hideMark/>
          </w:tcPr>
          <w:p w14:paraId="661EA971" w14:textId="77777777" w:rsidR="009B31F9" w:rsidRPr="009B31F9" w:rsidRDefault="009B31F9" w:rsidP="009B31F9">
            <w:r w:rsidRPr="009B31F9">
              <w:t>Incomplete justification</w:t>
            </w:r>
          </w:p>
        </w:tc>
        <w:tc>
          <w:tcPr>
            <w:tcW w:w="0" w:type="auto"/>
            <w:hideMark/>
          </w:tcPr>
          <w:p w14:paraId="4157414C" w14:textId="77777777" w:rsidR="009B31F9" w:rsidRPr="009B31F9" w:rsidRDefault="009B31F9" w:rsidP="009B31F9">
            <w:r w:rsidRPr="009B31F9">
              <w:t>Integrated evidence approach</w:t>
            </w:r>
          </w:p>
        </w:tc>
      </w:tr>
    </w:tbl>
    <w:p w14:paraId="11DC6593" w14:textId="77777777" w:rsidR="009B31F9" w:rsidRPr="009B31F9" w:rsidRDefault="009B31F9" w:rsidP="0060315D">
      <w:pPr>
        <w:pStyle w:val="Heading2"/>
      </w:pPr>
      <w:r w:rsidRPr="009B31F9">
        <w:t>How Maven Regulatory Solutions Supports Biosimilar Development</w:t>
      </w:r>
    </w:p>
    <w:p w14:paraId="4F316668" w14:textId="24A32C50" w:rsidR="009B31F9" w:rsidRPr="009B31F9" w:rsidRDefault="009B31F9" w:rsidP="009B31F9">
      <w:pPr>
        <w:rPr>
          <w:b/>
          <w:bCs/>
        </w:rPr>
      </w:pPr>
      <w:r w:rsidRPr="009B31F9">
        <w:rPr>
          <w:b/>
          <w:bCs/>
        </w:rPr>
        <w:t xml:space="preserve">1. Regulatory Strategy </w:t>
      </w:r>
      <w:r w:rsidR="0060315D" w:rsidRPr="009B31F9">
        <w:rPr>
          <w:b/>
          <w:bCs/>
        </w:rPr>
        <w:t>and</w:t>
      </w:r>
      <w:r w:rsidRPr="009B31F9">
        <w:rPr>
          <w:b/>
          <w:bCs/>
        </w:rPr>
        <w:t xml:space="preserve"> Gap Analysis</w:t>
      </w:r>
    </w:p>
    <w:p w14:paraId="353291DA" w14:textId="77777777" w:rsidR="009B31F9" w:rsidRPr="009B31F9" w:rsidRDefault="009B31F9" w:rsidP="009B31F9">
      <w:pPr>
        <w:numPr>
          <w:ilvl w:val="0"/>
          <w:numId w:val="9"/>
        </w:numPr>
      </w:pPr>
      <w:r w:rsidRPr="009B31F9">
        <w:t xml:space="preserve">Biosimilar development roadmap </w:t>
      </w:r>
    </w:p>
    <w:p w14:paraId="70122B83" w14:textId="77777777" w:rsidR="009B31F9" w:rsidRPr="009B31F9" w:rsidRDefault="009B31F9" w:rsidP="009B31F9">
      <w:pPr>
        <w:numPr>
          <w:ilvl w:val="0"/>
          <w:numId w:val="9"/>
        </w:numPr>
      </w:pPr>
      <w:r w:rsidRPr="009B31F9">
        <w:t xml:space="preserve">Global regulatory alignment (FDA, EMA, WHO) </w:t>
      </w:r>
    </w:p>
    <w:p w14:paraId="4AD77E87" w14:textId="77777777" w:rsidR="009B31F9" w:rsidRPr="009B31F9" w:rsidRDefault="009B31F9" w:rsidP="009B31F9">
      <w:pPr>
        <w:rPr>
          <w:b/>
          <w:bCs/>
        </w:rPr>
      </w:pPr>
      <w:r w:rsidRPr="009B31F9">
        <w:rPr>
          <w:b/>
          <w:bCs/>
        </w:rPr>
        <w:t>2. Toxicological Risk Assessment</w:t>
      </w:r>
    </w:p>
    <w:p w14:paraId="481DDC01" w14:textId="77777777" w:rsidR="009B31F9" w:rsidRPr="009B31F9" w:rsidRDefault="009B31F9" w:rsidP="009B31F9">
      <w:pPr>
        <w:numPr>
          <w:ilvl w:val="0"/>
          <w:numId w:val="10"/>
        </w:numPr>
      </w:pPr>
      <w:r w:rsidRPr="009B31F9">
        <w:t xml:space="preserve">Comparative toxicology studies </w:t>
      </w:r>
    </w:p>
    <w:p w14:paraId="3C8DFFD6" w14:textId="77777777" w:rsidR="009B31F9" w:rsidRPr="009B31F9" w:rsidRDefault="009B31F9" w:rsidP="009B31F9">
      <w:pPr>
        <w:numPr>
          <w:ilvl w:val="0"/>
          <w:numId w:val="10"/>
        </w:numPr>
      </w:pPr>
      <w:r w:rsidRPr="009B31F9">
        <w:t xml:space="preserve">Immunogenicity risk evaluation </w:t>
      </w:r>
    </w:p>
    <w:p w14:paraId="2E9C76AE" w14:textId="77777777" w:rsidR="009B31F9" w:rsidRPr="009B31F9" w:rsidRDefault="009B31F9" w:rsidP="009B31F9">
      <w:pPr>
        <w:numPr>
          <w:ilvl w:val="0"/>
          <w:numId w:val="10"/>
        </w:numPr>
      </w:pPr>
      <w:r w:rsidRPr="009B31F9">
        <w:t xml:space="preserve">Dose and safety margin analysis </w:t>
      </w:r>
    </w:p>
    <w:p w14:paraId="64718DBD" w14:textId="2F06513F" w:rsidR="009B31F9" w:rsidRPr="009B31F9" w:rsidRDefault="009B31F9" w:rsidP="009B31F9">
      <w:pPr>
        <w:rPr>
          <w:b/>
          <w:bCs/>
        </w:rPr>
      </w:pPr>
      <w:r w:rsidRPr="009B31F9">
        <w:rPr>
          <w:b/>
          <w:bCs/>
        </w:rPr>
        <w:t xml:space="preserve">3. Scientific Writing </w:t>
      </w:r>
      <w:r w:rsidR="0060315D" w:rsidRPr="009B31F9">
        <w:rPr>
          <w:b/>
          <w:bCs/>
        </w:rPr>
        <w:t>and</w:t>
      </w:r>
      <w:r w:rsidRPr="009B31F9">
        <w:rPr>
          <w:b/>
          <w:bCs/>
        </w:rPr>
        <w:t xml:space="preserve"> Justification</w:t>
      </w:r>
    </w:p>
    <w:p w14:paraId="73577BD3" w14:textId="77777777" w:rsidR="009B31F9" w:rsidRPr="009B31F9" w:rsidRDefault="009B31F9" w:rsidP="009B31F9">
      <w:pPr>
        <w:numPr>
          <w:ilvl w:val="0"/>
          <w:numId w:val="11"/>
        </w:numPr>
      </w:pPr>
      <w:r w:rsidRPr="009B31F9">
        <w:t xml:space="preserve">Extrapolation justification reports </w:t>
      </w:r>
    </w:p>
    <w:p w14:paraId="7E364AA1" w14:textId="77777777" w:rsidR="009B31F9" w:rsidRPr="009B31F9" w:rsidRDefault="009B31F9" w:rsidP="009B31F9">
      <w:pPr>
        <w:numPr>
          <w:ilvl w:val="0"/>
          <w:numId w:val="11"/>
        </w:numPr>
      </w:pPr>
      <w:r w:rsidRPr="009B31F9">
        <w:t xml:space="preserve">Clinical and non-clinical documentation </w:t>
      </w:r>
    </w:p>
    <w:p w14:paraId="03DA01CC" w14:textId="77777777" w:rsidR="009B31F9" w:rsidRPr="009B31F9" w:rsidRDefault="009B31F9" w:rsidP="009B31F9">
      <w:pPr>
        <w:numPr>
          <w:ilvl w:val="0"/>
          <w:numId w:val="11"/>
        </w:numPr>
      </w:pPr>
      <w:r w:rsidRPr="009B31F9">
        <w:t xml:space="preserve">Regulatory submission support </w:t>
      </w:r>
    </w:p>
    <w:p w14:paraId="1BC24008" w14:textId="77777777" w:rsidR="009B31F9" w:rsidRPr="009B31F9" w:rsidRDefault="009B31F9" w:rsidP="009B31F9">
      <w:pPr>
        <w:rPr>
          <w:b/>
          <w:bCs/>
        </w:rPr>
      </w:pPr>
      <w:r w:rsidRPr="009B31F9">
        <w:rPr>
          <w:b/>
          <w:bCs/>
        </w:rPr>
        <w:t>4. End-To-End Biosimilar Consulting</w:t>
      </w:r>
    </w:p>
    <w:p w14:paraId="061F3885" w14:textId="77777777" w:rsidR="009B31F9" w:rsidRPr="009B31F9" w:rsidRDefault="009B31F9" w:rsidP="009B31F9">
      <w:pPr>
        <w:numPr>
          <w:ilvl w:val="0"/>
          <w:numId w:val="12"/>
        </w:numPr>
      </w:pPr>
      <w:r w:rsidRPr="009B31F9">
        <w:t xml:space="preserve">Dossier preparation (CTD format) </w:t>
      </w:r>
    </w:p>
    <w:p w14:paraId="76C7EFF9" w14:textId="77777777" w:rsidR="009B31F9" w:rsidRPr="009B31F9" w:rsidRDefault="009B31F9" w:rsidP="009B31F9">
      <w:pPr>
        <w:numPr>
          <w:ilvl w:val="0"/>
          <w:numId w:val="12"/>
        </w:numPr>
      </w:pPr>
      <w:r w:rsidRPr="009B31F9">
        <w:t xml:space="preserve">Regulatory submissions and responses </w:t>
      </w:r>
    </w:p>
    <w:p w14:paraId="6F4E235B" w14:textId="77777777" w:rsidR="009B31F9" w:rsidRPr="009B31F9" w:rsidRDefault="009B31F9" w:rsidP="009B31F9">
      <w:pPr>
        <w:numPr>
          <w:ilvl w:val="0"/>
          <w:numId w:val="12"/>
        </w:numPr>
      </w:pPr>
      <w:r w:rsidRPr="009B31F9">
        <w:t xml:space="preserve">Post-marketing surveillance strategy </w:t>
      </w:r>
    </w:p>
    <w:p w14:paraId="198289F3" w14:textId="77777777" w:rsidR="009B31F9" w:rsidRPr="009B31F9" w:rsidRDefault="009B31F9" w:rsidP="0060315D">
      <w:pPr>
        <w:pStyle w:val="Heading2"/>
      </w:pPr>
      <w:r w:rsidRPr="009B31F9">
        <w:lastRenderedPageBreak/>
        <w:t>Why Choose Maven Regulatory Solutions?</w:t>
      </w:r>
    </w:p>
    <w:p w14:paraId="3FF2FEDA" w14:textId="77777777" w:rsidR="009B31F9" w:rsidRPr="0060315D" w:rsidRDefault="009B31F9" w:rsidP="009B31F9">
      <w:pPr>
        <w:rPr>
          <w:b/>
          <w:bCs/>
        </w:rPr>
      </w:pPr>
      <w:r w:rsidRPr="0060315D">
        <w:rPr>
          <w:b/>
          <w:bCs/>
        </w:rPr>
        <w:t>Maven offers:</w:t>
      </w:r>
    </w:p>
    <w:p w14:paraId="6827C749" w14:textId="77777777" w:rsidR="009B31F9" w:rsidRPr="009B31F9" w:rsidRDefault="009B31F9" w:rsidP="009B31F9">
      <w:pPr>
        <w:numPr>
          <w:ilvl w:val="0"/>
          <w:numId w:val="13"/>
        </w:numPr>
      </w:pPr>
      <w:r w:rsidRPr="009B31F9">
        <w:t xml:space="preserve">Deep expertise in </w:t>
      </w:r>
      <w:r w:rsidRPr="009B31F9">
        <w:rPr>
          <w:b/>
          <w:bCs/>
        </w:rPr>
        <w:t>biosimilars and biologics regulations</w:t>
      </w:r>
      <w:r w:rsidRPr="009B31F9">
        <w:t xml:space="preserve"> </w:t>
      </w:r>
    </w:p>
    <w:p w14:paraId="59153068" w14:textId="77777777" w:rsidR="009B31F9" w:rsidRPr="009B31F9" w:rsidRDefault="009B31F9" w:rsidP="009B31F9">
      <w:pPr>
        <w:numPr>
          <w:ilvl w:val="0"/>
          <w:numId w:val="13"/>
        </w:numPr>
      </w:pPr>
      <w:r w:rsidRPr="009B31F9">
        <w:t xml:space="preserve">Advanced capabilities in </w:t>
      </w:r>
      <w:r w:rsidRPr="009B31F9">
        <w:rPr>
          <w:b/>
          <w:bCs/>
        </w:rPr>
        <w:t>toxicology and risk assessment</w:t>
      </w:r>
      <w:r w:rsidRPr="009B31F9">
        <w:t xml:space="preserve"> </w:t>
      </w:r>
    </w:p>
    <w:p w14:paraId="1CEEED69" w14:textId="77777777" w:rsidR="009B31F9" w:rsidRPr="009B31F9" w:rsidRDefault="009B31F9" w:rsidP="009B31F9">
      <w:pPr>
        <w:numPr>
          <w:ilvl w:val="0"/>
          <w:numId w:val="13"/>
        </w:numPr>
      </w:pPr>
      <w:r w:rsidRPr="009B31F9">
        <w:t xml:space="preserve">Proven success in </w:t>
      </w:r>
      <w:r w:rsidRPr="009B31F9">
        <w:rPr>
          <w:b/>
          <w:bCs/>
        </w:rPr>
        <w:t>global regulatory submissions</w:t>
      </w:r>
      <w:r w:rsidRPr="009B31F9">
        <w:t xml:space="preserve"> </w:t>
      </w:r>
    </w:p>
    <w:p w14:paraId="151690A4" w14:textId="77777777" w:rsidR="009B31F9" w:rsidRPr="009B31F9" w:rsidRDefault="009B31F9" w:rsidP="009B31F9">
      <w:pPr>
        <w:numPr>
          <w:ilvl w:val="0"/>
          <w:numId w:val="13"/>
        </w:numPr>
      </w:pPr>
      <w:r w:rsidRPr="009B31F9">
        <w:t xml:space="preserve">Customized strategies for </w:t>
      </w:r>
      <w:r w:rsidRPr="009B31F9">
        <w:rPr>
          <w:b/>
          <w:bCs/>
        </w:rPr>
        <w:t>faster approvals and market access</w:t>
      </w:r>
      <w:r w:rsidRPr="009B31F9">
        <w:t xml:space="preserve"> </w:t>
      </w:r>
    </w:p>
    <w:p w14:paraId="1DB79F99" w14:textId="77777777" w:rsidR="009B31F9" w:rsidRPr="009B31F9" w:rsidRDefault="009B31F9" w:rsidP="009B31F9">
      <w:r w:rsidRPr="009B31F9">
        <w:t xml:space="preserve">We enable companies to achieve </w:t>
      </w:r>
      <w:r w:rsidRPr="009B31F9">
        <w:rPr>
          <w:b/>
          <w:bCs/>
        </w:rPr>
        <w:t>scientifically robust and regulatorily compliant biosimilar approvals</w:t>
      </w:r>
      <w:r w:rsidRPr="009B31F9">
        <w:t>.</w:t>
      </w:r>
    </w:p>
    <w:p w14:paraId="4A4CA467" w14:textId="77777777" w:rsidR="009B31F9" w:rsidRPr="009B31F9" w:rsidRDefault="009B31F9" w:rsidP="0060315D">
      <w:pPr>
        <w:pStyle w:val="Heading2"/>
      </w:pPr>
      <w:r w:rsidRPr="009B31F9">
        <w:t>Conclusion</w:t>
      </w:r>
    </w:p>
    <w:p w14:paraId="794BD5FC" w14:textId="77777777" w:rsidR="009B31F9" w:rsidRPr="009B31F9" w:rsidRDefault="009B31F9" w:rsidP="009B31F9">
      <w:r w:rsidRPr="009B31F9">
        <w:t xml:space="preserve">Biosimilar extrapolation is a </w:t>
      </w:r>
      <w:r w:rsidRPr="009B31F9">
        <w:rPr>
          <w:b/>
          <w:bCs/>
        </w:rPr>
        <w:t>powerful regulatory tool</w:t>
      </w:r>
      <w:r w:rsidRPr="009B31F9">
        <w:t xml:space="preserve"> that accelerates development while maintaining rigorous standards of safety and efficacy. By leveraging </w:t>
      </w:r>
      <w:r w:rsidRPr="009B31F9">
        <w:rPr>
          <w:b/>
          <w:bCs/>
        </w:rPr>
        <w:t>totality of evidence, robust scientific justification, and toxicological risk assessment</w:t>
      </w:r>
      <w:r w:rsidRPr="009B31F9">
        <w:t>, manufacturers can expand indications efficiently.</w:t>
      </w:r>
    </w:p>
    <w:p w14:paraId="6D5D2B31" w14:textId="77777777" w:rsidR="009B31F9" w:rsidRPr="009B31F9" w:rsidRDefault="009B31F9" w:rsidP="009B31F9">
      <w:r w:rsidRPr="009B31F9">
        <w:t xml:space="preserve">In 2026, as regulatory frameworks evolve and data-driven approaches advance, </w:t>
      </w:r>
      <w:r w:rsidRPr="009B31F9">
        <w:rPr>
          <w:b/>
          <w:bCs/>
        </w:rPr>
        <w:t>strategic extrapolation will remain central to biosimilar success</w:t>
      </w:r>
      <w:r w:rsidRPr="009B31F9">
        <w:t>.</w:t>
      </w:r>
    </w:p>
    <w:p w14:paraId="2A4EE060" w14:textId="77777777" w:rsidR="009B31F9" w:rsidRPr="009B31F9" w:rsidRDefault="009B31F9" w:rsidP="009B31F9">
      <w:r w:rsidRPr="009B31F9">
        <w:t xml:space="preserve">Partnering with </w:t>
      </w:r>
      <w:r w:rsidRPr="009B31F9">
        <w:rPr>
          <w:b/>
          <w:bCs/>
        </w:rPr>
        <w:t>Maven Regulatory Solutions</w:t>
      </w:r>
      <w:r w:rsidRPr="009B31F9">
        <w:t xml:space="preserve"> ensures a </w:t>
      </w:r>
      <w:r w:rsidRPr="009B31F9">
        <w:rPr>
          <w:b/>
          <w:bCs/>
        </w:rPr>
        <w:t>streamlined, compliant, and scientifically sound pathway</w:t>
      </w:r>
      <w:r w:rsidRPr="009B31F9">
        <w:t xml:space="preserve"> to biosimilar approval and global market access.</w:t>
      </w:r>
    </w:p>
    <w:p w14:paraId="11E12E8D" w14:textId="2E4913B1" w:rsidR="009B31F9" w:rsidRPr="009B31F9" w:rsidRDefault="009B31F9" w:rsidP="0060315D">
      <w:pPr>
        <w:pStyle w:val="Heading2"/>
      </w:pPr>
      <w:r w:rsidRPr="009B31F9">
        <w:t xml:space="preserve">FAQs </w:t>
      </w:r>
    </w:p>
    <w:p w14:paraId="06C3A347" w14:textId="77777777" w:rsidR="009B31F9" w:rsidRPr="009B31F9" w:rsidRDefault="009B31F9" w:rsidP="009B31F9">
      <w:pPr>
        <w:rPr>
          <w:b/>
          <w:bCs/>
        </w:rPr>
      </w:pPr>
      <w:r w:rsidRPr="009B31F9">
        <w:rPr>
          <w:b/>
          <w:bCs/>
        </w:rPr>
        <w:t>1. What is biosimilar extrapolation?</w:t>
      </w:r>
    </w:p>
    <w:p w14:paraId="1A5B9C48" w14:textId="77777777" w:rsidR="009B31F9" w:rsidRPr="009B31F9" w:rsidRDefault="009B31F9" w:rsidP="009B31F9">
      <w:r w:rsidRPr="009B31F9">
        <w:t>It is the approval of a biosimilar for multiple indications without direct clinical trials for each indication.</w:t>
      </w:r>
    </w:p>
    <w:p w14:paraId="2BAA8B9B" w14:textId="77777777" w:rsidR="009B31F9" w:rsidRPr="009B31F9" w:rsidRDefault="009B31F9" w:rsidP="009B31F9">
      <w:pPr>
        <w:rPr>
          <w:b/>
          <w:bCs/>
        </w:rPr>
      </w:pPr>
      <w:r w:rsidRPr="009B31F9">
        <w:rPr>
          <w:b/>
          <w:bCs/>
        </w:rPr>
        <w:t>2. Is extrapolation accepted globally?</w:t>
      </w:r>
    </w:p>
    <w:p w14:paraId="48BA80DD" w14:textId="77777777" w:rsidR="009B31F9" w:rsidRPr="009B31F9" w:rsidRDefault="009B31F9" w:rsidP="009B31F9">
      <w:r w:rsidRPr="009B31F9">
        <w:t>Yes, agencies like FDA, EMA, WHO, and Health Canada support it.</w:t>
      </w:r>
    </w:p>
    <w:p w14:paraId="1B323664" w14:textId="77777777" w:rsidR="009B31F9" w:rsidRPr="009B31F9" w:rsidRDefault="009B31F9" w:rsidP="009B31F9">
      <w:pPr>
        <w:rPr>
          <w:b/>
          <w:bCs/>
        </w:rPr>
      </w:pPr>
      <w:r w:rsidRPr="009B31F9">
        <w:rPr>
          <w:b/>
          <w:bCs/>
        </w:rPr>
        <w:t>3. What data is required for extrapolation?</w:t>
      </w:r>
    </w:p>
    <w:p w14:paraId="705D59DD" w14:textId="77777777" w:rsidR="009B31F9" w:rsidRPr="009B31F9" w:rsidRDefault="009B31F9" w:rsidP="009B31F9">
      <w:r w:rsidRPr="009B31F9">
        <w:t>Analytical, non-clinical, clinical, PK/PD, and immunogenicity data.</w:t>
      </w:r>
    </w:p>
    <w:p w14:paraId="5E825216" w14:textId="77777777" w:rsidR="009B31F9" w:rsidRPr="009B31F9" w:rsidRDefault="009B31F9" w:rsidP="009B31F9">
      <w:pPr>
        <w:rPr>
          <w:b/>
          <w:bCs/>
        </w:rPr>
      </w:pPr>
      <w:r w:rsidRPr="009B31F9">
        <w:rPr>
          <w:b/>
          <w:bCs/>
        </w:rPr>
        <w:t>4. Why is immunogenicity important?</w:t>
      </w:r>
    </w:p>
    <w:p w14:paraId="48940124" w14:textId="77777777" w:rsidR="009B31F9" w:rsidRPr="009B31F9" w:rsidRDefault="009B31F9" w:rsidP="009B31F9">
      <w:r w:rsidRPr="009B31F9">
        <w:t>It ensures the biosimilar does not trigger unexpected immune responses.</w:t>
      </w:r>
    </w:p>
    <w:p w14:paraId="2480A8DB" w14:textId="77777777" w:rsidR="009B31F9" w:rsidRPr="009B31F9" w:rsidRDefault="009B31F9" w:rsidP="009B31F9">
      <w:pPr>
        <w:rPr>
          <w:b/>
          <w:bCs/>
        </w:rPr>
      </w:pPr>
      <w:r w:rsidRPr="009B31F9">
        <w:rPr>
          <w:b/>
          <w:bCs/>
        </w:rPr>
        <w:lastRenderedPageBreak/>
        <w:t>5. How does extrapolation benefit patients?</w:t>
      </w:r>
    </w:p>
    <w:p w14:paraId="76DAB199" w14:textId="77777777" w:rsidR="009B31F9" w:rsidRDefault="009B31F9" w:rsidP="009B31F9">
      <w:r w:rsidRPr="009B31F9">
        <w:t>It improves access to affordable biologic therapies.</w:t>
      </w:r>
    </w:p>
    <w:p w14:paraId="296EF8FA" w14:textId="77777777" w:rsidR="0060315D" w:rsidRDefault="0060315D" w:rsidP="0060315D">
      <w:pPr>
        <w:rPr>
          <w:b/>
          <w:bCs/>
        </w:rPr>
      </w:pPr>
    </w:p>
    <w:p w14:paraId="1120AC9B" w14:textId="0AD85CDB" w:rsidR="0060315D" w:rsidRPr="009B31F9" w:rsidRDefault="0060315D" w:rsidP="0060315D">
      <w:pPr>
        <w:rPr>
          <w:b/>
          <w:bCs/>
        </w:rPr>
      </w:pPr>
      <w:r w:rsidRPr="009B31F9">
        <w:rPr>
          <w:b/>
          <w:bCs/>
        </w:rPr>
        <w:t xml:space="preserve">Meta Title </w:t>
      </w:r>
    </w:p>
    <w:p w14:paraId="2D8A6B82" w14:textId="77777777" w:rsidR="0060315D" w:rsidRPr="0060315D" w:rsidRDefault="0060315D" w:rsidP="0060315D">
      <w:r w:rsidRPr="0060315D">
        <w:t>Biosimilars Extrapolation Guide 2026</w:t>
      </w:r>
    </w:p>
    <w:p w14:paraId="324B32B8" w14:textId="77777777" w:rsidR="0060315D" w:rsidRPr="009B31F9" w:rsidRDefault="0060315D" w:rsidP="0060315D">
      <w:pPr>
        <w:rPr>
          <w:b/>
          <w:bCs/>
        </w:rPr>
      </w:pPr>
      <w:r w:rsidRPr="009B31F9">
        <w:rPr>
          <w:b/>
          <w:bCs/>
        </w:rPr>
        <w:t>Meta Summary</w:t>
      </w:r>
    </w:p>
    <w:p w14:paraId="09E5842E" w14:textId="77777777" w:rsidR="0060315D" w:rsidRPr="009B31F9" w:rsidRDefault="0060315D" w:rsidP="0060315D">
      <w:r w:rsidRPr="009B31F9">
        <w:t>Comprehensive guide to biosimilar extrapolation covering FDA, EMA guidelines, PK/PD, immunogenicity, and toxicological risk assessment for regulatory approval.</w:t>
      </w:r>
    </w:p>
    <w:p w14:paraId="450C8931" w14:textId="77777777" w:rsidR="0060315D" w:rsidRPr="009B31F9" w:rsidRDefault="0060315D" w:rsidP="0060315D">
      <w:pPr>
        <w:rPr>
          <w:b/>
          <w:bCs/>
        </w:rPr>
      </w:pPr>
      <w:r w:rsidRPr="009B31F9">
        <w:rPr>
          <w:b/>
          <w:bCs/>
        </w:rPr>
        <w:t>Meta Keywords</w:t>
      </w:r>
    </w:p>
    <w:p w14:paraId="0CF7E449" w14:textId="77777777" w:rsidR="0060315D" w:rsidRDefault="0060315D" w:rsidP="0060315D">
      <w:r w:rsidRPr="009B31F9">
        <w:t>biosimilars extrapolation FDA EMA guidelines, biosimilar approval pathway PK PD immunogenicity, biosimilar regulatory strategy global, extrapolation scientific justification biologics, biosimilar toxicology risk assessment, comparability studies biologics, biosimilar clinical pharmacology data, biosimilar regulatory consulting Maven, biosimilar development strategy 2026, biologics market access biosimilars</w:t>
      </w:r>
    </w:p>
    <w:p w14:paraId="70FD11A0" w14:textId="77777777" w:rsidR="00DA0A18" w:rsidRPr="001F07E6" w:rsidRDefault="00DA0A18" w:rsidP="00DA0A18">
      <w:pPr>
        <w:rPr>
          <w:b/>
          <w:bCs/>
        </w:rPr>
      </w:pPr>
      <w:r w:rsidRPr="001F07E6">
        <w:rPr>
          <w:b/>
          <w:bCs/>
        </w:rPr>
        <w:t>Blog Tags</w:t>
      </w:r>
    </w:p>
    <w:p w14:paraId="35EE46D8" w14:textId="73A31478" w:rsidR="0060315D" w:rsidRPr="009B31F9" w:rsidRDefault="00DA0A18" w:rsidP="009B31F9">
      <w:hyperlink r:id="rId11" w:history="1">
        <w:r w:rsidRPr="00454EAD">
          <w:rPr>
            <w:rStyle w:val="Hyperlink"/>
            <w:u w:val="none"/>
          </w:rPr>
          <w:t>Pharmaceuticals</w:t>
        </w:r>
      </w:hyperlink>
      <w:r w:rsidRPr="00454EAD">
        <w:t xml:space="preserve"> , </w:t>
      </w:r>
      <w:hyperlink r:id="rId12" w:history="1">
        <w:r w:rsidRPr="00454EAD">
          <w:rPr>
            <w:rStyle w:val="Hyperlink"/>
            <w:u w:val="none"/>
          </w:rPr>
          <w:t>Biologics</w:t>
        </w:r>
      </w:hyperlink>
      <w:r w:rsidRPr="00454EAD">
        <w:t xml:space="preserve"> </w:t>
      </w:r>
      <w:r>
        <w:t>,</w:t>
      </w:r>
      <w:hyperlink r:id="rId13" w:history="1">
        <w:r w:rsidRPr="00454EAD">
          <w:rPr>
            <w:rStyle w:val="Hyperlink"/>
            <w:u w:val="none"/>
          </w:rPr>
          <w:t>Toxicological Risk Assessment</w:t>
        </w:r>
      </w:hyperlink>
      <w:r w:rsidRPr="00454EAD">
        <w:t xml:space="preserve"> </w:t>
      </w:r>
      <w:r>
        <w:t xml:space="preserve">, </w:t>
      </w:r>
      <w:hyperlink r:id="rId14" w:history="1">
        <w:r w:rsidRPr="00454EAD">
          <w:rPr>
            <w:rStyle w:val="Hyperlink"/>
            <w:u w:val="none"/>
          </w:rPr>
          <w:t>Life Cycle Management</w:t>
        </w:r>
      </w:hyperlink>
      <w:r w:rsidRPr="00454EAD">
        <w:t xml:space="preserve"> , </w:t>
      </w:r>
      <w:hyperlink r:id="rId15" w:history="1">
        <w:r w:rsidRPr="00454EAD">
          <w:rPr>
            <w:rStyle w:val="Hyperlink"/>
            <w:u w:val="none"/>
          </w:rPr>
          <w:t>Maven Labeling Services</w:t>
        </w:r>
      </w:hyperlink>
      <w:r w:rsidRPr="00454EAD">
        <w:t xml:space="preserve"> , </w:t>
      </w:r>
      <w:hyperlink r:id="rId16" w:history="1">
        <w:r w:rsidRPr="00454EAD">
          <w:rPr>
            <w:rStyle w:val="Hyperlink"/>
            <w:u w:val="none"/>
          </w:rPr>
          <w:t>Artwork Services</w:t>
        </w:r>
      </w:hyperlink>
      <w:r w:rsidRPr="00454EAD">
        <w:t xml:space="preserve"> </w:t>
      </w:r>
    </w:p>
    <w:p w14:paraId="3368EFF0" w14:textId="77777777" w:rsidR="009B31F9" w:rsidRDefault="009B31F9" w:rsidP="00E668AF"/>
    <w:p w14:paraId="1903560F" w14:textId="77777777" w:rsidR="00E668AF" w:rsidRPr="00E668AF" w:rsidRDefault="00E668AF" w:rsidP="00E668AF"/>
    <w:p w14:paraId="5B6B358A" w14:textId="77777777" w:rsidR="00501624" w:rsidRPr="00E668AF" w:rsidRDefault="00501624"/>
    <w:sectPr w:rsidR="00501624" w:rsidRPr="00E668AF" w:rsidSect="001B7CFA">
      <w:pgSz w:w="12240" w:h="15840" w:code="1"/>
      <w:pgMar w:top="1958" w:right="1440" w:bottom="1440" w:left="1440" w:header="562" w:footer="37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416D"/>
    <w:multiLevelType w:val="multilevel"/>
    <w:tmpl w:val="60A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0906"/>
    <w:multiLevelType w:val="multilevel"/>
    <w:tmpl w:val="986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206A"/>
    <w:multiLevelType w:val="multilevel"/>
    <w:tmpl w:val="8FF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D53F7"/>
    <w:multiLevelType w:val="multilevel"/>
    <w:tmpl w:val="D24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4013"/>
    <w:multiLevelType w:val="multilevel"/>
    <w:tmpl w:val="945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7233F"/>
    <w:multiLevelType w:val="multilevel"/>
    <w:tmpl w:val="AB7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43E3D"/>
    <w:multiLevelType w:val="multilevel"/>
    <w:tmpl w:val="E168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F48B9"/>
    <w:multiLevelType w:val="multilevel"/>
    <w:tmpl w:val="59A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D5213"/>
    <w:multiLevelType w:val="multilevel"/>
    <w:tmpl w:val="B0E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F04D2"/>
    <w:multiLevelType w:val="multilevel"/>
    <w:tmpl w:val="2FA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A5B4F"/>
    <w:multiLevelType w:val="multilevel"/>
    <w:tmpl w:val="5AB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45A2B"/>
    <w:multiLevelType w:val="multilevel"/>
    <w:tmpl w:val="EA9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32364"/>
    <w:multiLevelType w:val="multilevel"/>
    <w:tmpl w:val="DD6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480403">
    <w:abstractNumId w:val="7"/>
  </w:num>
  <w:num w:numId="2" w16cid:durableId="1136335574">
    <w:abstractNumId w:val="8"/>
  </w:num>
  <w:num w:numId="3" w16cid:durableId="976565364">
    <w:abstractNumId w:val="6"/>
  </w:num>
  <w:num w:numId="4" w16cid:durableId="997340868">
    <w:abstractNumId w:val="3"/>
  </w:num>
  <w:num w:numId="5" w16cid:durableId="942885195">
    <w:abstractNumId w:val="5"/>
  </w:num>
  <w:num w:numId="6" w16cid:durableId="1277100374">
    <w:abstractNumId w:val="0"/>
  </w:num>
  <w:num w:numId="7" w16cid:durableId="1080827359">
    <w:abstractNumId w:val="4"/>
  </w:num>
  <w:num w:numId="8" w16cid:durableId="689912607">
    <w:abstractNumId w:val="2"/>
  </w:num>
  <w:num w:numId="9" w16cid:durableId="2018923175">
    <w:abstractNumId w:val="11"/>
  </w:num>
  <w:num w:numId="10" w16cid:durableId="587348130">
    <w:abstractNumId w:val="1"/>
  </w:num>
  <w:num w:numId="11" w16cid:durableId="347022513">
    <w:abstractNumId w:val="12"/>
  </w:num>
  <w:num w:numId="12" w16cid:durableId="563369918">
    <w:abstractNumId w:val="10"/>
  </w:num>
  <w:num w:numId="13" w16cid:durableId="19625653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AF"/>
    <w:rsid w:val="000D74C3"/>
    <w:rsid w:val="001B7CFA"/>
    <w:rsid w:val="00220306"/>
    <w:rsid w:val="0037037B"/>
    <w:rsid w:val="00501624"/>
    <w:rsid w:val="0060315D"/>
    <w:rsid w:val="006C0DC2"/>
    <w:rsid w:val="0095074C"/>
    <w:rsid w:val="009B31F9"/>
    <w:rsid w:val="00B9607C"/>
    <w:rsid w:val="00C45366"/>
    <w:rsid w:val="00DA0A18"/>
    <w:rsid w:val="00E668AF"/>
    <w:rsid w:val="00F64008"/>
    <w:rsid w:val="00FA6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D6CA"/>
  <w15:chartTrackingRefBased/>
  <w15:docId w15:val="{1656A4AE-4661-48AE-A555-7BAAEC90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8AF"/>
    <w:rPr>
      <w:rFonts w:eastAsiaTheme="majorEastAsia" w:cstheme="majorBidi"/>
      <w:color w:val="272727" w:themeColor="text1" w:themeTint="D8"/>
    </w:rPr>
  </w:style>
  <w:style w:type="paragraph" w:styleId="Title">
    <w:name w:val="Title"/>
    <w:basedOn w:val="Normal"/>
    <w:next w:val="Normal"/>
    <w:link w:val="TitleChar"/>
    <w:uiPriority w:val="10"/>
    <w:qFormat/>
    <w:rsid w:val="00E66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8AF"/>
    <w:pPr>
      <w:spacing w:before="160"/>
      <w:jc w:val="center"/>
    </w:pPr>
    <w:rPr>
      <w:i/>
      <w:iCs/>
      <w:color w:val="404040" w:themeColor="text1" w:themeTint="BF"/>
    </w:rPr>
  </w:style>
  <w:style w:type="character" w:customStyle="1" w:styleId="QuoteChar">
    <w:name w:val="Quote Char"/>
    <w:basedOn w:val="DefaultParagraphFont"/>
    <w:link w:val="Quote"/>
    <w:uiPriority w:val="29"/>
    <w:rsid w:val="00E668AF"/>
    <w:rPr>
      <w:i/>
      <w:iCs/>
      <w:color w:val="404040" w:themeColor="text1" w:themeTint="BF"/>
    </w:rPr>
  </w:style>
  <w:style w:type="paragraph" w:styleId="ListParagraph">
    <w:name w:val="List Paragraph"/>
    <w:basedOn w:val="Normal"/>
    <w:uiPriority w:val="34"/>
    <w:qFormat/>
    <w:rsid w:val="00E668AF"/>
    <w:pPr>
      <w:ind w:left="720"/>
      <w:contextualSpacing/>
    </w:pPr>
  </w:style>
  <w:style w:type="character" w:styleId="IntenseEmphasis">
    <w:name w:val="Intense Emphasis"/>
    <w:basedOn w:val="DefaultParagraphFont"/>
    <w:uiPriority w:val="21"/>
    <w:qFormat/>
    <w:rsid w:val="00E668AF"/>
    <w:rPr>
      <w:i/>
      <w:iCs/>
      <w:color w:val="0F4761" w:themeColor="accent1" w:themeShade="BF"/>
    </w:rPr>
  </w:style>
  <w:style w:type="paragraph" w:styleId="IntenseQuote">
    <w:name w:val="Intense Quote"/>
    <w:basedOn w:val="Normal"/>
    <w:next w:val="Normal"/>
    <w:link w:val="IntenseQuoteChar"/>
    <w:uiPriority w:val="30"/>
    <w:qFormat/>
    <w:rsid w:val="00E66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8AF"/>
    <w:rPr>
      <w:i/>
      <w:iCs/>
      <w:color w:val="0F4761" w:themeColor="accent1" w:themeShade="BF"/>
    </w:rPr>
  </w:style>
  <w:style w:type="character" w:styleId="IntenseReference">
    <w:name w:val="Intense Reference"/>
    <w:basedOn w:val="DefaultParagraphFont"/>
    <w:uiPriority w:val="32"/>
    <w:qFormat/>
    <w:rsid w:val="00E668AF"/>
    <w:rPr>
      <w:b/>
      <w:bCs/>
      <w:smallCaps/>
      <w:color w:val="0F4761" w:themeColor="accent1" w:themeShade="BF"/>
      <w:spacing w:val="5"/>
    </w:rPr>
  </w:style>
  <w:style w:type="character" w:styleId="Hyperlink">
    <w:name w:val="Hyperlink"/>
    <w:basedOn w:val="DefaultParagraphFont"/>
    <w:uiPriority w:val="99"/>
    <w:unhideWhenUsed/>
    <w:rsid w:val="00E668AF"/>
    <w:rPr>
      <w:color w:val="467886" w:themeColor="hyperlink"/>
      <w:u w:val="single"/>
    </w:rPr>
  </w:style>
  <w:style w:type="character" w:styleId="UnresolvedMention">
    <w:name w:val="Unresolved Mention"/>
    <w:basedOn w:val="DefaultParagraphFont"/>
    <w:uiPriority w:val="99"/>
    <w:semiHidden/>
    <w:unhideWhenUsed/>
    <w:rsid w:val="00E668AF"/>
    <w:rPr>
      <w:color w:val="605E5C"/>
      <w:shd w:val="clear" w:color="auto" w:fill="E1DFDD"/>
    </w:rPr>
  </w:style>
  <w:style w:type="table" w:styleId="TableGrid">
    <w:name w:val="Table Grid"/>
    <w:basedOn w:val="TableNormal"/>
    <w:uiPriority w:val="39"/>
    <w:rsid w:val="00603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venrs.com/biologics" TargetMode="External"/><Relationship Id="rId13" Type="http://schemas.openxmlformats.org/officeDocument/2006/relationships/hyperlink" Target="https://www.mavenrs.com/toxicological-risk-assess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Url:-" TargetMode="External"/><Relationship Id="rId12" Type="http://schemas.openxmlformats.org/officeDocument/2006/relationships/hyperlink" Target="https://www.mavenrs.com/biologi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venrs.com/artwork-services" TargetMode="External"/><Relationship Id="rId1" Type="http://schemas.openxmlformats.org/officeDocument/2006/relationships/numbering" Target="numbering.xml"/><Relationship Id="rId6" Type="http://schemas.openxmlformats.org/officeDocument/2006/relationships/hyperlink" Target="https://www.mavenrs.com/blog/biosimilars-beyond-direct-studies-ensuring-successful-extrapolation" TargetMode="External"/><Relationship Id="rId11" Type="http://schemas.openxmlformats.org/officeDocument/2006/relationships/hyperlink" Target="https://www.mavenrs.com/pharmaceutical-biologics" TargetMode="External"/><Relationship Id="rId5" Type="http://schemas.openxmlformats.org/officeDocument/2006/relationships/hyperlink" Target="Url:-" TargetMode="External"/><Relationship Id="rId15" Type="http://schemas.openxmlformats.org/officeDocument/2006/relationships/hyperlink" Target="https://www.mavenrs.com/labelling-services" TargetMode="External"/><Relationship Id="rId10" Type="http://schemas.openxmlformats.org/officeDocument/2006/relationships/hyperlink" Target="https://www.mavenrs.com/toxicological-risk-assessment" TargetMode="External"/><Relationship Id="rId4" Type="http://schemas.openxmlformats.org/officeDocument/2006/relationships/webSettings" Target="webSettings.xml"/><Relationship Id="rId9" Type="http://schemas.openxmlformats.org/officeDocument/2006/relationships/hyperlink" Target="https://www.mavenrs.com/pharmaceutical-biologics" TargetMode="External"/><Relationship Id="rId14" Type="http://schemas.openxmlformats.org/officeDocument/2006/relationships/hyperlink" Target="https://www.mavenrs.com/life-cycl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962</Words>
  <Characters>7400</Characters>
  <Application>Microsoft Office Word</Application>
  <DocSecurity>0</DocSecurity>
  <Lines>205</Lines>
  <Paragraphs>181</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prakash</dc:creator>
  <cp:keywords/>
  <dc:description/>
  <cp:lastModifiedBy>Priyanka prakash</cp:lastModifiedBy>
  <cp:revision>6</cp:revision>
  <dcterms:created xsi:type="dcterms:W3CDTF">2026-04-01T04:47:00Z</dcterms:created>
  <dcterms:modified xsi:type="dcterms:W3CDTF">2026-04-09T12:03:00Z</dcterms:modified>
</cp:coreProperties>
</file>