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7DDE8" w14:textId="7E8A6071" w:rsidR="00260889" w:rsidRPr="00F45875" w:rsidRDefault="00260889" w:rsidP="00260889">
      <w:r w:rsidRPr="00260889">
        <w:t xml:space="preserve">Category: - </w:t>
      </w:r>
      <w:r w:rsidRPr="00F45875">
        <w:t xml:space="preserve">Pharmaceuticals </w:t>
      </w:r>
      <w:r w:rsidRPr="00F45875">
        <w:tab/>
      </w:r>
    </w:p>
    <w:p w14:paraId="778C8EE0" w14:textId="4D28931F" w:rsidR="00260889" w:rsidRDefault="00260889" w:rsidP="00260889">
      <w:r w:rsidRPr="00260889">
        <w:t xml:space="preserve">Old </w:t>
      </w:r>
      <w:hyperlink r:id="rId5" w:history="1">
        <w:r w:rsidRPr="00FA4BBC">
          <w:rPr>
            <w:rStyle w:val="Hyperlink"/>
          </w:rPr>
          <w:t>Url:-</w:t>
        </w:r>
      </w:hyperlink>
      <w:r>
        <w:t xml:space="preserve"> </w:t>
      </w:r>
      <w:hyperlink r:id="rId6" w:history="1">
        <w:r w:rsidRPr="00260889">
          <w:rPr>
            <w:rStyle w:val="Hyperlink"/>
          </w:rPr>
          <w:t>https://www.mavenrs.com/blog/biowaivers-for-bcs-class-iii-drugs-current-challenges-and-future-directions-introduction</w:t>
        </w:r>
      </w:hyperlink>
    </w:p>
    <w:p w14:paraId="06C5BB75" w14:textId="77777777" w:rsidR="003144C1" w:rsidRPr="00F45875" w:rsidRDefault="003144C1" w:rsidP="003144C1">
      <w:r>
        <w:t xml:space="preserve">New </w:t>
      </w:r>
      <w:hyperlink r:id="rId7" w:history="1">
        <w:r w:rsidRPr="004B7904">
          <w:rPr>
            <w:rStyle w:val="Hyperlink"/>
          </w:rPr>
          <w:t>Url:-</w:t>
        </w:r>
      </w:hyperlink>
      <w:r>
        <w:t xml:space="preserve"> </w:t>
      </w:r>
      <w:r w:rsidRPr="00F45875">
        <w:rPr>
          <w:b/>
          <w:bCs/>
        </w:rPr>
        <w:t>/biowaivers-bcs-class-iii-drugs-fda-guidance-challenges-future-directions-maven</w:t>
      </w:r>
    </w:p>
    <w:p w14:paraId="1565F63A" w14:textId="7880C5FE" w:rsidR="00F45875" w:rsidRPr="00F45875" w:rsidRDefault="00F45875" w:rsidP="003144C1">
      <w:pPr>
        <w:pStyle w:val="Heading1"/>
      </w:pPr>
      <w:r w:rsidRPr="00F45875">
        <w:t xml:space="preserve">Biowaivers For BCS Class III Drugs: Current Challenges </w:t>
      </w:r>
      <w:r w:rsidR="003144C1" w:rsidRPr="00F45875">
        <w:t>and</w:t>
      </w:r>
      <w:r w:rsidRPr="00F45875">
        <w:t xml:space="preserve"> Future Directions Introduction</w:t>
      </w:r>
    </w:p>
    <w:p w14:paraId="06A1B3BC" w14:textId="4B067F84" w:rsidR="00F45875" w:rsidRPr="00CA7A5F" w:rsidRDefault="00F45875" w:rsidP="00F45875">
      <w:r w:rsidRPr="00CA7A5F">
        <w:t xml:space="preserve">The </w:t>
      </w:r>
      <w:r w:rsidRPr="00CA7A5F">
        <w:rPr>
          <w:b/>
          <w:bCs/>
        </w:rPr>
        <w:t>Biopharmaceutics Classification System (BCS)</w:t>
      </w:r>
      <w:r w:rsidRPr="00CA7A5F">
        <w:t xml:space="preserve"> remains a cornerstone in global </w:t>
      </w:r>
      <w:hyperlink r:id="rId8" w:history="1">
        <w:r w:rsidRPr="00CA7A5F">
          <w:rPr>
            <w:rStyle w:val="Hyperlink"/>
            <w:u w:val="none"/>
          </w:rPr>
          <w:t>pharmaceutical</w:t>
        </w:r>
      </w:hyperlink>
      <w:r w:rsidRPr="00CA7A5F">
        <w:t xml:space="preserve"> regulatory frameworks, guiding bioequivalence (BE) requirements and enabling </w:t>
      </w:r>
      <w:r w:rsidRPr="00CA7A5F">
        <w:rPr>
          <w:b/>
          <w:bCs/>
        </w:rPr>
        <w:t>biowaivers</w:t>
      </w:r>
      <w:r w:rsidRPr="00CA7A5F">
        <w:t xml:space="preserve"> for certain drug products. While BCS Class I drugs benefit from well-established regulatory pathways, </w:t>
      </w:r>
      <w:r w:rsidRPr="00CA7A5F">
        <w:rPr>
          <w:b/>
          <w:bCs/>
        </w:rPr>
        <w:t>BCS Class III drugs (high solubility, low permeability)</w:t>
      </w:r>
      <w:r w:rsidRPr="00CA7A5F">
        <w:t xml:space="preserve"> continue to present </w:t>
      </w:r>
      <w:r w:rsidRPr="00CA7A5F">
        <w:rPr>
          <w:b/>
          <w:bCs/>
        </w:rPr>
        <w:t>significant regulatory and scientific challenges</w:t>
      </w:r>
      <w:r w:rsidRPr="00CA7A5F">
        <w:t>.</w:t>
      </w:r>
    </w:p>
    <w:p w14:paraId="0478F7A3" w14:textId="77777777" w:rsidR="00F45875" w:rsidRPr="00CA7A5F" w:rsidRDefault="00F45875" w:rsidP="00F45875">
      <w:r w:rsidRPr="00CA7A5F">
        <w:t xml:space="preserve">According to current </w:t>
      </w:r>
      <w:r w:rsidRPr="00CA7A5F">
        <w:rPr>
          <w:b/>
          <w:bCs/>
        </w:rPr>
        <w:t>FDA biowaiver guidance</w:t>
      </w:r>
      <w:r w:rsidRPr="00CA7A5F">
        <w:t>, a waiver of in vivo BE studies for BCS Class III drugs is only granted under strict conditions:</w:t>
      </w:r>
    </w:p>
    <w:p w14:paraId="2FC0CE81" w14:textId="77777777" w:rsidR="00F45875" w:rsidRPr="00CA7A5F" w:rsidRDefault="00F45875" w:rsidP="00F45875">
      <w:pPr>
        <w:numPr>
          <w:ilvl w:val="0"/>
          <w:numId w:val="1"/>
        </w:numPr>
      </w:pPr>
      <w:r w:rsidRPr="00CA7A5F">
        <w:rPr>
          <w:b/>
          <w:bCs/>
        </w:rPr>
        <w:t>Q1 (Qualitative) sameness</w:t>
      </w:r>
      <w:r w:rsidRPr="00CA7A5F">
        <w:t xml:space="preserve"> of excipients </w:t>
      </w:r>
    </w:p>
    <w:p w14:paraId="12BEFDBD" w14:textId="77777777" w:rsidR="00F45875" w:rsidRPr="00CA7A5F" w:rsidRDefault="00F45875" w:rsidP="00F45875">
      <w:pPr>
        <w:numPr>
          <w:ilvl w:val="0"/>
          <w:numId w:val="1"/>
        </w:numPr>
      </w:pPr>
      <w:r w:rsidRPr="00CA7A5F">
        <w:rPr>
          <w:b/>
          <w:bCs/>
        </w:rPr>
        <w:t>Q2 (Quantitative) similarity</w:t>
      </w:r>
      <w:r w:rsidRPr="00CA7A5F">
        <w:t xml:space="preserve"> to the Reference Listed Drug (RLD) </w:t>
      </w:r>
    </w:p>
    <w:p w14:paraId="4418EB17" w14:textId="77777777" w:rsidR="00F45875" w:rsidRPr="00CA7A5F" w:rsidRDefault="00F45875" w:rsidP="00F45875">
      <w:pPr>
        <w:numPr>
          <w:ilvl w:val="0"/>
          <w:numId w:val="1"/>
        </w:numPr>
      </w:pPr>
      <w:r w:rsidRPr="00CA7A5F">
        <w:rPr>
          <w:b/>
          <w:bCs/>
        </w:rPr>
        <w:t>Very rapidly dissolving criteria</w:t>
      </w:r>
      <w:r w:rsidRPr="00CA7A5F">
        <w:t xml:space="preserve">: ≥85% drug release within 15 minutes </w:t>
      </w:r>
    </w:p>
    <w:p w14:paraId="0AFFAA60" w14:textId="7AAD27FE" w:rsidR="00F45875" w:rsidRPr="00CA7A5F" w:rsidRDefault="00F45875" w:rsidP="00F45875">
      <w:r w:rsidRPr="00CA7A5F">
        <w:t xml:space="preserve">Despite these stringent requirements, </w:t>
      </w:r>
      <w:r w:rsidRPr="00CA7A5F">
        <w:rPr>
          <w:b/>
          <w:bCs/>
        </w:rPr>
        <w:t>limited regulatory precedent and evolving scientific evidence</w:t>
      </w:r>
      <w:r w:rsidRPr="00CA7A5F">
        <w:t xml:space="preserve"> suggest that current frameworks may be overly conservative</w:t>
      </w:r>
      <w:r w:rsidR="00CA7A5F" w:rsidRPr="00CA7A5F">
        <w:t xml:space="preserve"> </w:t>
      </w:r>
      <w:r w:rsidRPr="00CA7A5F">
        <w:t xml:space="preserve">opening the door to </w:t>
      </w:r>
      <w:hyperlink r:id="rId9" w:history="1">
        <w:r w:rsidRPr="00CA7A5F">
          <w:rPr>
            <w:rStyle w:val="Hyperlink"/>
            <w:b/>
            <w:bCs/>
            <w:u w:val="none"/>
          </w:rPr>
          <w:t>regulatory</w:t>
        </w:r>
      </w:hyperlink>
      <w:r w:rsidRPr="00CA7A5F">
        <w:rPr>
          <w:b/>
          <w:bCs/>
        </w:rPr>
        <w:t xml:space="preserve"> innovation and risk-based approaches</w:t>
      </w:r>
      <w:r w:rsidRPr="00CA7A5F">
        <w:t>.</w:t>
      </w:r>
    </w:p>
    <w:p w14:paraId="313D5456" w14:textId="77777777" w:rsidR="00F45875" w:rsidRPr="00F45875" w:rsidRDefault="00F45875" w:rsidP="003144C1">
      <w:pPr>
        <w:pStyle w:val="Heading2"/>
      </w:pPr>
      <w:r w:rsidRPr="00F45875">
        <w:t>Methodology Overview</w:t>
      </w:r>
    </w:p>
    <w:p w14:paraId="18D93159" w14:textId="77777777" w:rsidR="00F45875" w:rsidRPr="00F45875" w:rsidRDefault="00F45875" w:rsidP="00F45875">
      <w:r w:rsidRPr="00F45875">
        <w:t xml:space="preserve">A targeted evaluation was conducted on </w:t>
      </w:r>
      <w:r w:rsidRPr="00F45875">
        <w:rPr>
          <w:b/>
          <w:bCs/>
        </w:rPr>
        <w:t>BCS Class III-like drug products</w:t>
      </w:r>
      <w:r w:rsidRPr="00F45875">
        <w:t xml:space="preserve"> selected from approximately 70 ANDA submissions. The study assessed:</w:t>
      </w:r>
    </w:p>
    <w:p w14:paraId="5F46EF75" w14:textId="77777777" w:rsidR="00F45875" w:rsidRPr="00F45875" w:rsidRDefault="00F45875" w:rsidP="00F45875">
      <w:pPr>
        <w:numPr>
          <w:ilvl w:val="0"/>
          <w:numId w:val="2"/>
        </w:numPr>
      </w:pPr>
      <w:r w:rsidRPr="00F45875">
        <w:t xml:space="preserve">Comparative </w:t>
      </w:r>
      <w:r w:rsidRPr="00F45875">
        <w:rPr>
          <w:b/>
          <w:bCs/>
        </w:rPr>
        <w:t>formulation composition</w:t>
      </w:r>
      <w:r w:rsidRPr="00F45875">
        <w:t xml:space="preserve"> (Test vs. RLD) </w:t>
      </w:r>
    </w:p>
    <w:p w14:paraId="3F5D4A53" w14:textId="77777777" w:rsidR="00F45875" w:rsidRPr="00F45875" w:rsidRDefault="00F45875" w:rsidP="00F45875">
      <w:pPr>
        <w:numPr>
          <w:ilvl w:val="0"/>
          <w:numId w:val="2"/>
        </w:numPr>
      </w:pPr>
      <w:r w:rsidRPr="00F45875">
        <w:rPr>
          <w:b/>
          <w:bCs/>
        </w:rPr>
        <w:t>Dissolution profiles</w:t>
      </w:r>
      <w:r w:rsidRPr="00F45875">
        <w:t xml:space="preserve"> under standardized conditions </w:t>
      </w:r>
    </w:p>
    <w:p w14:paraId="78F91E6D" w14:textId="77777777" w:rsidR="00F45875" w:rsidRPr="00F45875" w:rsidRDefault="00F45875" w:rsidP="00F45875">
      <w:pPr>
        <w:numPr>
          <w:ilvl w:val="0"/>
          <w:numId w:val="2"/>
        </w:numPr>
      </w:pPr>
      <w:r w:rsidRPr="00F45875">
        <w:t xml:space="preserve">Impact of </w:t>
      </w:r>
      <w:r w:rsidRPr="00F45875">
        <w:rPr>
          <w:b/>
          <w:bCs/>
        </w:rPr>
        <w:t>excipient variability on bioequivalence outcomes</w:t>
      </w:r>
      <w:r w:rsidRPr="00F45875">
        <w:t xml:space="preserve"> </w:t>
      </w:r>
    </w:p>
    <w:p w14:paraId="17ABBF2C" w14:textId="77777777" w:rsidR="00F45875" w:rsidRPr="00F45875" w:rsidRDefault="00F45875" w:rsidP="003144C1">
      <w:pPr>
        <w:pStyle w:val="Heading2"/>
      </w:pPr>
      <w:r w:rsidRPr="00F45875">
        <w:lastRenderedPageBreak/>
        <w:t>Key Findings and Scientific Insights</w:t>
      </w:r>
    </w:p>
    <w:p w14:paraId="32D1B2BB" w14:textId="77777777" w:rsidR="00F45875" w:rsidRPr="00F45875" w:rsidRDefault="00F45875" w:rsidP="003144C1">
      <w:pPr>
        <w:pStyle w:val="Heading2"/>
      </w:pPr>
      <w:r w:rsidRPr="00F45875">
        <w:t>1. Bioequivalence Beyond Q1/Q2 Constraints</w:t>
      </w:r>
    </w:p>
    <w:p w14:paraId="31C28F2B" w14:textId="77777777" w:rsidR="00F45875" w:rsidRPr="00F45875" w:rsidRDefault="00F45875" w:rsidP="00F45875">
      <w:r w:rsidRPr="00F45875">
        <w:t>Contrary to conventional regulatory assumptions:</w:t>
      </w:r>
    </w:p>
    <w:p w14:paraId="0FFB394B" w14:textId="77777777" w:rsidR="00F45875" w:rsidRPr="00F45875" w:rsidRDefault="00F45875" w:rsidP="00F45875">
      <w:pPr>
        <w:numPr>
          <w:ilvl w:val="0"/>
          <w:numId w:val="3"/>
        </w:numPr>
      </w:pPr>
      <w:r w:rsidRPr="00F45875">
        <w:t xml:space="preserve">Bioequivalence was achieved </w:t>
      </w:r>
      <w:r w:rsidRPr="00F45875">
        <w:rPr>
          <w:b/>
          <w:bCs/>
        </w:rPr>
        <w:t>despite excipient variability</w:t>
      </w:r>
      <w:r w:rsidRPr="00F45875">
        <w:t xml:space="preserve"> </w:t>
      </w:r>
    </w:p>
    <w:p w14:paraId="33D1AF77" w14:textId="77777777" w:rsidR="00F45875" w:rsidRPr="00F45875" w:rsidRDefault="00F45875" w:rsidP="00F45875">
      <w:pPr>
        <w:numPr>
          <w:ilvl w:val="0"/>
          <w:numId w:val="3"/>
        </w:numPr>
      </w:pPr>
      <w:r w:rsidRPr="00F45875">
        <w:t xml:space="preserve">Differences observed in critical excipients such as: </w:t>
      </w:r>
    </w:p>
    <w:p w14:paraId="0E452B12" w14:textId="77777777" w:rsidR="00F45875" w:rsidRPr="00F45875" w:rsidRDefault="00F45875" w:rsidP="00F45875">
      <w:pPr>
        <w:numPr>
          <w:ilvl w:val="1"/>
          <w:numId w:val="3"/>
        </w:numPr>
      </w:pPr>
      <w:r w:rsidRPr="00F45875">
        <w:t xml:space="preserve">Croscarmellose sodium </w:t>
      </w:r>
    </w:p>
    <w:p w14:paraId="0E9205EB" w14:textId="77777777" w:rsidR="00F45875" w:rsidRPr="00F45875" w:rsidRDefault="00F45875" w:rsidP="00F45875">
      <w:pPr>
        <w:numPr>
          <w:ilvl w:val="1"/>
          <w:numId w:val="3"/>
        </w:numPr>
      </w:pPr>
      <w:r w:rsidRPr="00F45875">
        <w:t xml:space="preserve">Magnesium stearate </w:t>
      </w:r>
    </w:p>
    <w:p w14:paraId="12F9BA93" w14:textId="77777777" w:rsidR="00F45875" w:rsidRPr="00F45875" w:rsidRDefault="00F45875" w:rsidP="00F45875">
      <w:pPr>
        <w:numPr>
          <w:ilvl w:val="1"/>
          <w:numId w:val="3"/>
        </w:numPr>
      </w:pPr>
      <w:r w:rsidRPr="00F45875">
        <w:t xml:space="preserve">Povidone </w:t>
      </w:r>
    </w:p>
    <w:p w14:paraId="117767B5" w14:textId="77777777" w:rsidR="00F45875" w:rsidRPr="00F45875" w:rsidRDefault="00F45875" w:rsidP="00F45875">
      <w:pPr>
        <w:numPr>
          <w:ilvl w:val="1"/>
          <w:numId w:val="3"/>
        </w:numPr>
      </w:pPr>
      <w:r w:rsidRPr="00F45875">
        <w:t xml:space="preserve">Lactose </w:t>
      </w:r>
    </w:p>
    <w:p w14:paraId="2CD2371D" w14:textId="77777777" w:rsidR="00F45875" w:rsidRPr="00F45875" w:rsidRDefault="00F45875" w:rsidP="00F45875">
      <w:pPr>
        <w:numPr>
          <w:ilvl w:val="1"/>
          <w:numId w:val="3"/>
        </w:numPr>
      </w:pPr>
      <w:r w:rsidRPr="00F45875">
        <w:t xml:space="preserve">Corn starch </w:t>
      </w:r>
    </w:p>
    <w:p w14:paraId="17991B65" w14:textId="6C9C6E85" w:rsidR="00F45875" w:rsidRPr="00F45875" w:rsidRDefault="00F45875" w:rsidP="00F45875">
      <w:r w:rsidRPr="00F45875">
        <w:t xml:space="preserve">This indicates that </w:t>
      </w:r>
      <w:r w:rsidRPr="00F45875">
        <w:rPr>
          <w:b/>
          <w:bCs/>
        </w:rPr>
        <w:t>excipient sameness may not always be critical</w:t>
      </w:r>
      <w:r w:rsidRPr="00F45875">
        <w:t xml:space="preserve"> if dissolution is rapid and consistent.</w:t>
      </w:r>
    </w:p>
    <w:p w14:paraId="4C35C77D" w14:textId="77777777" w:rsidR="00F45875" w:rsidRPr="00F45875" w:rsidRDefault="00F45875" w:rsidP="003144C1">
      <w:pPr>
        <w:pStyle w:val="Heading2"/>
      </w:pPr>
      <w:r w:rsidRPr="00F45875">
        <w:t>2. Dissolution as a Primary Determinant</w:t>
      </w:r>
    </w:p>
    <w:tbl>
      <w:tblPr>
        <w:tblStyle w:val="TableGrid"/>
        <w:tblW w:w="0" w:type="auto"/>
        <w:tblLook w:val="04A0" w:firstRow="1" w:lastRow="0" w:firstColumn="1" w:lastColumn="0" w:noHBand="0" w:noVBand="1"/>
      </w:tblPr>
      <w:tblGrid>
        <w:gridCol w:w="1918"/>
        <w:gridCol w:w="3781"/>
        <w:gridCol w:w="3169"/>
      </w:tblGrid>
      <w:tr w:rsidR="00F45875" w:rsidRPr="00F45875" w14:paraId="1E12518E" w14:textId="77777777" w:rsidTr="003144C1">
        <w:tc>
          <w:tcPr>
            <w:tcW w:w="0" w:type="auto"/>
            <w:shd w:val="clear" w:color="auto" w:fill="A5C9EB" w:themeFill="text2" w:themeFillTint="40"/>
            <w:hideMark/>
          </w:tcPr>
          <w:p w14:paraId="4632EDD0" w14:textId="77777777" w:rsidR="00F45875" w:rsidRPr="00F45875" w:rsidRDefault="00F45875" w:rsidP="00F45875">
            <w:pPr>
              <w:rPr>
                <w:b/>
                <w:bCs/>
              </w:rPr>
            </w:pPr>
            <w:r w:rsidRPr="00F45875">
              <w:rPr>
                <w:b/>
                <w:bCs/>
              </w:rPr>
              <w:t>Parameter</w:t>
            </w:r>
          </w:p>
        </w:tc>
        <w:tc>
          <w:tcPr>
            <w:tcW w:w="0" w:type="auto"/>
            <w:shd w:val="clear" w:color="auto" w:fill="A5C9EB" w:themeFill="text2" w:themeFillTint="40"/>
            <w:hideMark/>
          </w:tcPr>
          <w:p w14:paraId="2ADA1184" w14:textId="77777777" w:rsidR="00F45875" w:rsidRPr="00F45875" w:rsidRDefault="00F45875" w:rsidP="00F45875">
            <w:pPr>
              <w:rPr>
                <w:b/>
                <w:bCs/>
              </w:rPr>
            </w:pPr>
            <w:r w:rsidRPr="00F45875">
              <w:rPr>
                <w:b/>
                <w:bCs/>
              </w:rPr>
              <w:t>Observation</w:t>
            </w:r>
          </w:p>
        </w:tc>
        <w:tc>
          <w:tcPr>
            <w:tcW w:w="0" w:type="auto"/>
            <w:shd w:val="clear" w:color="auto" w:fill="A5C9EB" w:themeFill="text2" w:themeFillTint="40"/>
            <w:hideMark/>
          </w:tcPr>
          <w:p w14:paraId="0ADEBD56" w14:textId="77777777" w:rsidR="00F45875" w:rsidRPr="00F45875" w:rsidRDefault="00F45875" w:rsidP="00F45875">
            <w:pPr>
              <w:rPr>
                <w:b/>
                <w:bCs/>
              </w:rPr>
            </w:pPr>
            <w:r w:rsidRPr="00F45875">
              <w:rPr>
                <w:b/>
                <w:bCs/>
              </w:rPr>
              <w:t>Regulatory Impact</w:t>
            </w:r>
          </w:p>
        </w:tc>
      </w:tr>
      <w:tr w:rsidR="00F45875" w:rsidRPr="00F45875" w14:paraId="416595BD" w14:textId="77777777" w:rsidTr="003144C1">
        <w:tc>
          <w:tcPr>
            <w:tcW w:w="0" w:type="auto"/>
            <w:hideMark/>
          </w:tcPr>
          <w:p w14:paraId="3FCF68BD" w14:textId="77777777" w:rsidR="00F45875" w:rsidRPr="00F45875" w:rsidRDefault="00F45875" w:rsidP="00F45875">
            <w:r w:rsidRPr="00F45875">
              <w:t>Dissolution Rate</w:t>
            </w:r>
          </w:p>
        </w:tc>
        <w:tc>
          <w:tcPr>
            <w:tcW w:w="0" w:type="auto"/>
            <w:hideMark/>
          </w:tcPr>
          <w:p w14:paraId="12F1DE53" w14:textId="77777777" w:rsidR="00F45875" w:rsidRPr="00F45875" w:rsidRDefault="00F45875" w:rsidP="00F45875">
            <w:r w:rsidRPr="00F45875">
              <w:t>≥85% within 15 minutes</w:t>
            </w:r>
          </w:p>
        </w:tc>
        <w:tc>
          <w:tcPr>
            <w:tcW w:w="0" w:type="auto"/>
            <w:hideMark/>
          </w:tcPr>
          <w:p w14:paraId="63EACA73" w14:textId="77777777" w:rsidR="00F45875" w:rsidRPr="00F45875" w:rsidRDefault="00F45875" w:rsidP="00F45875">
            <w:r w:rsidRPr="00F45875">
              <w:t>Supports biowaiver eligibility</w:t>
            </w:r>
          </w:p>
        </w:tc>
      </w:tr>
      <w:tr w:rsidR="00F45875" w:rsidRPr="00F45875" w14:paraId="52A09AE5" w14:textId="77777777" w:rsidTr="003144C1">
        <w:tc>
          <w:tcPr>
            <w:tcW w:w="0" w:type="auto"/>
            <w:hideMark/>
          </w:tcPr>
          <w:p w14:paraId="712E4614" w14:textId="77777777" w:rsidR="00F45875" w:rsidRPr="00F45875" w:rsidRDefault="00F45875" w:rsidP="00F45875">
            <w:r w:rsidRPr="00F45875">
              <w:t>Variability</w:t>
            </w:r>
          </w:p>
        </w:tc>
        <w:tc>
          <w:tcPr>
            <w:tcW w:w="0" w:type="auto"/>
            <w:hideMark/>
          </w:tcPr>
          <w:p w14:paraId="174365FA" w14:textId="77777777" w:rsidR="00F45875" w:rsidRPr="00F45875" w:rsidRDefault="00F45875" w:rsidP="00F45875">
            <w:r w:rsidRPr="00F45875">
              <w:t>Minimal across formulations</w:t>
            </w:r>
          </w:p>
        </w:tc>
        <w:tc>
          <w:tcPr>
            <w:tcW w:w="0" w:type="auto"/>
            <w:hideMark/>
          </w:tcPr>
          <w:p w14:paraId="0FABF347" w14:textId="77777777" w:rsidR="00F45875" w:rsidRPr="00F45875" w:rsidRDefault="00F45875" w:rsidP="00F45875">
            <w:r w:rsidRPr="00F45875">
              <w:t>Indicates robustness</w:t>
            </w:r>
          </w:p>
        </w:tc>
      </w:tr>
      <w:tr w:rsidR="00F45875" w:rsidRPr="00F45875" w14:paraId="6DFD6C6C" w14:textId="77777777" w:rsidTr="003144C1">
        <w:tc>
          <w:tcPr>
            <w:tcW w:w="0" w:type="auto"/>
            <w:hideMark/>
          </w:tcPr>
          <w:p w14:paraId="7663348E" w14:textId="77777777" w:rsidR="00F45875" w:rsidRPr="00F45875" w:rsidRDefault="00F45875" w:rsidP="00F45875">
            <w:r w:rsidRPr="00F45875">
              <w:t>Predictive Value</w:t>
            </w:r>
          </w:p>
        </w:tc>
        <w:tc>
          <w:tcPr>
            <w:tcW w:w="0" w:type="auto"/>
            <w:hideMark/>
          </w:tcPr>
          <w:p w14:paraId="56E424F8" w14:textId="77777777" w:rsidR="00F45875" w:rsidRPr="00F45875" w:rsidRDefault="00F45875" w:rsidP="00F45875">
            <w:r w:rsidRPr="00F45875">
              <w:t>High correlation with BE outcomes</w:t>
            </w:r>
          </w:p>
        </w:tc>
        <w:tc>
          <w:tcPr>
            <w:tcW w:w="0" w:type="auto"/>
            <w:hideMark/>
          </w:tcPr>
          <w:p w14:paraId="096B21D4" w14:textId="77777777" w:rsidR="00F45875" w:rsidRPr="00F45875" w:rsidRDefault="00F45875" w:rsidP="00F45875">
            <w:r w:rsidRPr="00F45875">
              <w:t>Strengthens IVIVC models</w:t>
            </w:r>
          </w:p>
        </w:tc>
      </w:tr>
    </w:tbl>
    <w:p w14:paraId="514DC61C" w14:textId="77777777" w:rsidR="00F45875" w:rsidRPr="00F45875" w:rsidRDefault="00F45875" w:rsidP="003144C1">
      <w:pPr>
        <w:pStyle w:val="Heading2"/>
      </w:pPr>
      <w:r w:rsidRPr="00F45875">
        <w:t>3. Permeability Remains the Limiting Factor</w:t>
      </w:r>
    </w:p>
    <w:tbl>
      <w:tblPr>
        <w:tblStyle w:val="TableGrid"/>
        <w:tblW w:w="0" w:type="auto"/>
        <w:tblLook w:val="04A0" w:firstRow="1" w:lastRow="0" w:firstColumn="1" w:lastColumn="0" w:noHBand="0" w:noVBand="1"/>
      </w:tblPr>
      <w:tblGrid>
        <w:gridCol w:w="2336"/>
        <w:gridCol w:w="3470"/>
      </w:tblGrid>
      <w:tr w:rsidR="00F45875" w:rsidRPr="00F45875" w14:paraId="77E4F32C" w14:textId="77777777" w:rsidTr="003144C1">
        <w:tc>
          <w:tcPr>
            <w:tcW w:w="0" w:type="auto"/>
            <w:shd w:val="clear" w:color="auto" w:fill="A5C9EB" w:themeFill="text2" w:themeFillTint="40"/>
            <w:hideMark/>
          </w:tcPr>
          <w:p w14:paraId="2FB5EE66" w14:textId="77777777" w:rsidR="00F45875" w:rsidRPr="00F45875" w:rsidRDefault="00F45875" w:rsidP="00F45875">
            <w:pPr>
              <w:rPr>
                <w:b/>
                <w:bCs/>
              </w:rPr>
            </w:pPr>
            <w:r w:rsidRPr="00F45875">
              <w:rPr>
                <w:b/>
                <w:bCs/>
              </w:rPr>
              <w:t>Factor</w:t>
            </w:r>
          </w:p>
        </w:tc>
        <w:tc>
          <w:tcPr>
            <w:tcW w:w="0" w:type="auto"/>
            <w:shd w:val="clear" w:color="auto" w:fill="A5C9EB" w:themeFill="text2" w:themeFillTint="40"/>
            <w:hideMark/>
          </w:tcPr>
          <w:p w14:paraId="71878ACE" w14:textId="77777777" w:rsidR="00F45875" w:rsidRPr="00F45875" w:rsidRDefault="00F45875" w:rsidP="00F45875">
            <w:pPr>
              <w:rPr>
                <w:b/>
                <w:bCs/>
              </w:rPr>
            </w:pPr>
            <w:r w:rsidRPr="00F45875">
              <w:rPr>
                <w:b/>
                <w:bCs/>
              </w:rPr>
              <w:t>Impact on Absorption</w:t>
            </w:r>
          </w:p>
        </w:tc>
      </w:tr>
      <w:tr w:rsidR="00F45875" w:rsidRPr="00F45875" w14:paraId="641DCEEF" w14:textId="77777777" w:rsidTr="003144C1">
        <w:tc>
          <w:tcPr>
            <w:tcW w:w="0" w:type="auto"/>
            <w:hideMark/>
          </w:tcPr>
          <w:p w14:paraId="2551E662" w14:textId="77777777" w:rsidR="00F45875" w:rsidRPr="00F45875" w:rsidRDefault="00F45875" w:rsidP="00F45875">
            <w:r w:rsidRPr="00F45875">
              <w:t>Low Permeability</w:t>
            </w:r>
          </w:p>
        </w:tc>
        <w:tc>
          <w:tcPr>
            <w:tcW w:w="0" w:type="auto"/>
            <w:hideMark/>
          </w:tcPr>
          <w:p w14:paraId="51FFF9C5" w14:textId="77777777" w:rsidR="00F45875" w:rsidRPr="00F45875" w:rsidRDefault="00F45875" w:rsidP="00F45875">
            <w:r w:rsidRPr="00F45875">
              <w:t>Rate-limiting step</w:t>
            </w:r>
          </w:p>
        </w:tc>
      </w:tr>
      <w:tr w:rsidR="00F45875" w:rsidRPr="00F45875" w14:paraId="19A8C2D5" w14:textId="77777777" w:rsidTr="003144C1">
        <w:tc>
          <w:tcPr>
            <w:tcW w:w="0" w:type="auto"/>
            <w:hideMark/>
          </w:tcPr>
          <w:p w14:paraId="669894E4" w14:textId="77777777" w:rsidR="00F45875" w:rsidRPr="00F45875" w:rsidRDefault="00F45875" w:rsidP="00F45875">
            <w:r w:rsidRPr="00F45875">
              <w:t>Excipient Interaction</w:t>
            </w:r>
          </w:p>
        </w:tc>
        <w:tc>
          <w:tcPr>
            <w:tcW w:w="0" w:type="auto"/>
            <w:hideMark/>
          </w:tcPr>
          <w:p w14:paraId="0694E884" w14:textId="77777777" w:rsidR="00F45875" w:rsidRPr="00F45875" w:rsidRDefault="00F45875" w:rsidP="00F45875">
            <w:r w:rsidRPr="00F45875">
              <w:t>Potential influence on transport</w:t>
            </w:r>
          </w:p>
        </w:tc>
      </w:tr>
      <w:tr w:rsidR="00F45875" w:rsidRPr="00F45875" w14:paraId="506E7B33" w14:textId="77777777" w:rsidTr="003144C1">
        <w:tc>
          <w:tcPr>
            <w:tcW w:w="0" w:type="auto"/>
            <w:hideMark/>
          </w:tcPr>
          <w:p w14:paraId="7A4725AA" w14:textId="77777777" w:rsidR="00F45875" w:rsidRPr="00F45875" w:rsidRDefault="00F45875" w:rsidP="00F45875">
            <w:r w:rsidRPr="00F45875">
              <w:t>GI Transit Variability</w:t>
            </w:r>
          </w:p>
        </w:tc>
        <w:tc>
          <w:tcPr>
            <w:tcW w:w="0" w:type="auto"/>
            <w:hideMark/>
          </w:tcPr>
          <w:p w14:paraId="167CE51E" w14:textId="77777777" w:rsidR="00F45875" w:rsidRPr="00F45875" w:rsidRDefault="00F45875" w:rsidP="00F45875">
            <w:r w:rsidRPr="00F45875">
              <w:t>Affects absorption window</w:t>
            </w:r>
          </w:p>
        </w:tc>
      </w:tr>
    </w:tbl>
    <w:p w14:paraId="7BF5FC7A" w14:textId="77777777" w:rsidR="00F45875" w:rsidRPr="00F45875" w:rsidRDefault="00F45875" w:rsidP="003144C1">
      <w:pPr>
        <w:pStyle w:val="Heading2"/>
      </w:pPr>
      <w:r w:rsidRPr="00F45875">
        <w:t>Regulatory Challenges</w:t>
      </w:r>
    </w:p>
    <w:p w14:paraId="26E3CCF5" w14:textId="77777777" w:rsidR="00F45875" w:rsidRPr="00F45875" w:rsidRDefault="00F45875" w:rsidP="00F45875">
      <w:pPr>
        <w:rPr>
          <w:b/>
          <w:bCs/>
        </w:rPr>
      </w:pPr>
      <w:r w:rsidRPr="00F45875">
        <w:rPr>
          <w:b/>
          <w:bCs/>
        </w:rPr>
        <w:t>1. Rigid Q1/Q2 Requirements</w:t>
      </w:r>
    </w:p>
    <w:p w14:paraId="0C3A9791" w14:textId="77777777" w:rsidR="00F45875" w:rsidRPr="00F45875" w:rsidRDefault="00F45875" w:rsidP="00F45875">
      <w:r w:rsidRPr="00F45875">
        <w:t>Current FDA expectations may:</w:t>
      </w:r>
    </w:p>
    <w:p w14:paraId="3ED550DF" w14:textId="77777777" w:rsidR="00F45875" w:rsidRPr="00F45875" w:rsidRDefault="00F45875" w:rsidP="00F45875">
      <w:pPr>
        <w:numPr>
          <w:ilvl w:val="0"/>
          <w:numId w:val="4"/>
        </w:numPr>
      </w:pPr>
      <w:r w:rsidRPr="00F45875">
        <w:t xml:space="preserve">Limit formulation flexibility </w:t>
      </w:r>
    </w:p>
    <w:p w14:paraId="188C4186" w14:textId="77777777" w:rsidR="00F45875" w:rsidRPr="00F45875" w:rsidRDefault="00F45875" w:rsidP="00F45875">
      <w:pPr>
        <w:numPr>
          <w:ilvl w:val="0"/>
          <w:numId w:val="4"/>
        </w:numPr>
      </w:pPr>
      <w:r w:rsidRPr="00F45875">
        <w:t xml:space="preserve">Increase development costs </w:t>
      </w:r>
    </w:p>
    <w:p w14:paraId="57BA623B" w14:textId="77777777" w:rsidR="00F45875" w:rsidRPr="00F45875" w:rsidRDefault="00F45875" w:rsidP="00F45875">
      <w:pPr>
        <w:numPr>
          <w:ilvl w:val="0"/>
          <w:numId w:val="4"/>
        </w:numPr>
      </w:pPr>
      <w:r w:rsidRPr="00F45875">
        <w:lastRenderedPageBreak/>
        <w:t xml:space="preserve">Delay generic drug approvals </w:t>
      </w:r>
    </w:p>
    <w:p w14:paraId="47FA5F8B" w14:textId="77777777" w:rsidR="00F45875" w:rsidRPr="00F45875" w:rsidRDefault="00F45875" w:rsidP="00F45875">
      <w:pPr>
        <w:rPr>
          <w:b/>
          <w:bCs/>
        </w:rPr>
      </w:pPr>
      <w:r w:rsidRPr="00F45875">
        <w:rPr>
          <w:b/>
          <w:bCs/>
        </w:rPr>
        <w:t>2. Limited Precedent in ANDA Approvals</w:t>
      </w:r>
    </w:p>
    <w:p w14:paraId="6B303D79" w14:textId="77777777" w:rsidR="00F45875" w:rsidRPr="00F45875" w:rsidRDefault="00F45875" w:rsidP="00F45875">
      <w:r w:rsidRPr="00F45875">
        <w:t>A lack of publicly available case studies creates:</w:t>
      </w:r>
    </w:p>
    <w:p w14:paraId="34B32CF7" w14:textId="77777777" w:rsidR="00F45875" w:rsidRPr="00F45875" w:rsidRDefault="00F45875" w:rsidP="00F45875">
      <w:pPr>
        <w:numPr>
          <w:ilvl w:val="0"/>
          <w:numId w:val="5"/>
        </w:numPr>
      </w:pPr>
      <w:r w:rsidRPr="00F45875">
        <w:t xml:space="preserve">Regulatory uncertainty </w:t>
      </w:r>
    </w:p>
    <w:p w14:paraId="58D0C9AF" w14:textId="77777777" w:rsidR="00F45875" w:rsidRPr="00F45875" w:rsidRDefault="00F45875" w:rsidP="00F45875">
      <w:pPr>
        <w:numPr>
          <w:ilvl w:val="0"/>
          <w:numId w:val="5"/>
        </w:numPr>
      </w:pPr>
      <w:r w:rsidRPr="00F45875">
        <w:t xml:space="preserve">Inconsistent review outcomes </w:t>
      </w:r>
    </w:p>
    <w:p w14:paraId="5CD62320" w14:textId="77777777" w:rsidR="00F45875" w:rsidRPr="00F45875" w:rsidRDefault="00F45875" w:rsidP="00F45875">
      <w:pPr>
        <w:numPr>
          <w:ilvl w:val="0"/>
          <w:numId w:val="5"/>
        </w:numPr>
      </w:pPr>
      <w:r w:rsidRPr="00F45875">
        <w:t xml:space="preserve">Increased risk for applicants </w:t>
      </w:r>
    </w:p>
    <w:p w14:paraId="2C5F2077" w14:textId="77777777" w:rsidR="00F45875" w:rsidRPr="00F45875" w:rsidRDefault="00F45875" w:rsidP="00F45875">
      <w:pPr>
        <w:rPr>
          <w:b/>
          <w:bCs/>
        </w:rPr>
      </w:pPr>
      <w:r w:rsidRPr="00F45875">
        <w:rPr>
          <w:b/>
          <w:bCs/>
        </w:rPr>
        <w:t>3. Ambiguity Around “BCS Class III-like” Drugs</w:t>
      </w:r>
    </w:p>
    <w:p w14:paraId="586D52AA" w14:textId="77777777" w:rsidR="00F45875" w:rsidRPr="00F45875" w:rsidRDefault="00F45875" w:rsidP="00F45875">
      <w:r w:rsidRPr="00F45875">
        <w:t>Drugs that do not strictly fall within BCS Class III criteria:</w:t>
      </w:r>
    </w:p>
    <w:p w14:paraId="75093100" w14:textId="77777777" w:rsidR="00F45875" w:rsidRPr="00F45875" w:rsidRDefault="00F45875" w:rsidP="00F45875">
      <w:pPr>
        <w:numPr>
          <w:ilvl w:val="0"/>
          <w:numId w:val="6"/>
        </w:numPr>
      </w:pPr>
      <w:r w:rsidRPr="00F45875">
        <w:t xml:space="preserve">Lack clear regulatory classification </w:t>
      </w:r>
    </w:p>
    <w:p w14:paraId="7CA9C6C1" w14:textId="77777777" w:rsidR="00F45875" w:rsidRPr="00F45875" w:rsidRDefault="00F45875" w:rsidP="00F45875">
      <w:pPr>
        <w:numPr>
          <w:ilvl w:val="0"/>
          <w:numId w:val="6"/>
        </w:numPr>
      </w:pPr>
      <w:r w:rsidRPr="00F45875">
        <w:t xml:space="preserve">Require case-by-case justification </w:t>
      </w:r>
    </w:p>
    <w:p w14:paraId="25CD5C0D" w14:textId="77777777" w:rsidR="00F45875" w:rsidRPr="00F45875" w:rsidRDefault="00F45875" w:rsidP="003144C1">
      <w:pPr>
        <w:pStyle w:val="Heading2"/>
      </w:pPr>
      <w:r w:rsidRPr="00F45875">
        <w:t>Global Regulatory Perspective</w:t>
      </w:r>
    </w:p>
    <w:tbl>
      <w:tblPr>
        <w:tblStyle w:val="TableGrid"/>
        <w:tblW w:w="0" w:type="auto"/>
        <w:tblLook w:val="04A0" w:firstRow="1" w:lastRow="0" w:firstColumn="1" w:lastColumn="0" w:noHBand="0" w:noVBand="1"/>
      </w:tblPr>
      <w:tblGrid>
        <w:gridCol w:w="1994"/>
        <w:gridCol w:w="4551"/>
      </w:tblGrid>
      <w:tr w:rsidR="00F45875" w:rsidRPr="00F45875" w14:paraId="5E2BCBC3" w14:textId="77777777" w:rsidTr="003144C1">
        <w:tc>
          <w:tcPr>
            <w:tcW w:w="0" w:type="auto"/>
            <w:shd w:val="clear" w:color="auto" w:fill="A5C9EB" w:themeFill="text2" w:themeFillTint="40"/>
            <w:hideMark/>
          </w:tcPr>
          <w:p w14:paraId="525135F0" w14:textId="77777777" w:rsidR="00F45875" w:rsidRPr="00F45875" w:rsidRDefault="00F45875" w:rsidP="00F45875">
            <w:pPr>
              <w:rPr>
                <w:b/>
                <w:bCs/>
              </w:rPr>
            </w:pPr>
            <w:r w:rsidRPr="00F45875">
              <w:rPr>
                <w:b/>
                <w:bCs/>
              </w:rPr>
              <w:t>Regulatory Body</w:t>
            </w:r>
          </w:p>
        </w:tc>
        <w:tc>
          <w:tcPr>
            <w:tcW w:w="0" w:type="auto"/>
            <w:shd w:val="clear" w:color="auto" w:fill="A5C9EB" w:themeFill="text2" w:themeFillTint="40"/>
            <w:hideMark/>
          </w:tcPr>
          <w:p w14:paraId="108F2284" w14:textId="77777777" w:rsidR="00F45875" w:rsidRPr="00F45875" w:rsidRDefault="00F45875" w:rsidP="00F45875">
            <w:pPr>
              <w:rPr>
                <w:b/>
                <w:bCs/>
              </w:rPr>
            </w:pPr>
            <w:r w:rsidRPr="00F45875">
              <w:rPr>
                <w:b/>
                <w:bCs/>
              </w:rPr>
              <w:t>Approach to BCS Class III</w:t>
            </w:r>
          </w:p>
        </w:tc>
      </w:tr>
      <w:tr w:rsidR="00F45875" w:rsidRPr="00F45875" w14:paraId="53FBEC97" w14:textId="77777777" w:rsidTr="003144C1">
        <w:tc>
          <w:tcPr>
            <w:tcW w:w="0" w:type="auto"/>
            <w:hideMark/>
          </w:tcPr>
          <w:p w14:paraId="5134DF51" w14:textId="77777777" w:rsidR="00F45875" w:rsidRPr="00F45875" w:rsidRDefault="00F45875" w:rsidP="00F45875">
            <w:r w:rsidRPr="00F45875">
              <w:t>FDA</w:t>
            </w:r>
          </w:p>
        </w:tc>
        <w:tc>
          <w:tcPr>
            <w:tcW w:w="0" w:type="auto"/>
            <w:hideMark/>
          </w:tcPr>
          <w:p w14:paraId="7467FA58" w14:textId="77777777" w:rsidR="00F45875" w:rsidRPr="00F45875" w:rsidRDefault="00F45875" w:rsidP="00F45875">
            <w:r w:rsidRPr="00F45875">
              <w:t>Strict Q1/Q2 + rapid dissolution</w:t>
            </w:r>
          </w:p>
        </w:tc>
      </w:tr>
      <w:tr w:rsidR="00F45875" w:rsidRPr="00F45875" w14:paraId="6E7BD5F4" w14:textId="77777777" w:rsidTr="003144C1">
        <w:tc>
          <w:tcPr>
            <w:tcW w:w="0" w:type="auto"/>
            <w:hideMark/>
          </w:tcPr>
          <w:p w14:paraId="02B048FB" w14:textId="77777777" w:rsidR="00F45875" w:rsidRPr="00F45875" w:rsidRDefault="00F45875" w:rsidP="00F45875">
            <w:r w:rsidRPr="00F45875">
              <w:t>EMA</w:t>
            </w:r>
          </w:p>
        </w:tc>
        <w:tc>
          <w:tcPr>
            <w:tcW w:w="0" w:type="auto"/>
            <w:hideMark/>
          </w:tcPr>
          <w:p w14:paraId="3FEC7CC8" w14:textId="77777777" w:rsidR="00F45875" w:rsidRPr="00F45875" w:rsidRDefault="00F45875" w:rsidP="00F45875">
            <w:r w:rsidRPr="00F45875">
              <w:t>Slightly flexible, risk-based considerations</w:t>
            </w:r>
          </w:p>
        </w:tc>
      </w:tr>
      <w:tr w:rsidR="00F45875" w:rsidRPr="00F45875" w14:paraId="6190F145" w14:textId="77777777" w:rsidTr="003144C1">
        <w:tc>
          <w:tcPr>
            <w:tcW w:w="0" w:type="auto"/>
            <w:hideMark/>
          </w:tcPr>
          <w:p w14:paraId="1FCBE58F" w14:textId="77777777" w:rsidR="00F45875" w:rsidRPr="00F45875" w:rsidRDefault="00F45875" w:rsidP="00F45875">
            <w:r w:rsidRPr="00F45875">
              <w:t>WHO</w:t>
            </w:r>
          </w:p>
        </w:tc>
        <w:tc>
          <w:tcPr>
            <w:tcW w:w="0" w:type="auto"/>
            <w:hideMark/>
          </w:tcPr>
          <w:p w14:paraId="6C32526C" w14:textId="77777777" w:rsidR="00F45875" w:rsidRPr="00F45875" w:rsidRDefault="00F45875" w:rsidP="00F45875">
            <w:r w:rsidRPr="00F45875">
              <w:t>Encourages scientific justification</w:t>
            </w:r>
          </w:p>
        </w:tc>
      </w:tr>
    </w:tbl>
    <w:p w14:paraId="1084BD9C" w14:textId="053F3075" w:rsidR="00F45875" w:rsidRPr="00F45875" w:rsidRDefault="00F45875" w:rsidP="00F45875">
      <w:r w:rsidRPr="00F45875">
        <w:rPr>
          <w:b/>
          <w:bCs/>
        </w:rPr>
        <w:t>Trend:</w:t>
      </w:r>
      <w:r w:rsidRPr="00F45875">
        <w:t xml:space="preserve"> Movement toward </w:t>
      </w:r>
      <w:r w:rsidRPr="00F45875">
        <w:rPr>
          <w:b/>
          <w:bCs/>
        </w:rPr>
        <w:t>risk-based and science-driven frameworks</w:t>
      </w:r>
    </w:p>
    <w:p w14:paraId="4D404878" w14:textId="098630A2" w:rsidR="00F45875" w:rsidRPr="00F45875" w:rsidRDefault="00F45875" w:rsidP="003144C1">
      <w:pPr>
        <w:pStyle w:val="Heading2"/>
      </w:pPr>
      <w:r w:rsidRPr="00F45875">
        <w:t xml:space="preserve">Emerging Trends &amp; Latest Regulatory Updates </w:t>
      </w:r>
    </w:p>
    <w:p w14:paraId="3628F052" w14:textId="77777777" w:rsidR="00F45875" w:rsidRPr="00F45875" w:rsidRDefault="00F45875" w:rsidP="00F45875">
      <w:pPr>
        <w:numPr>
          <w:ilvl w:val="0"/>
          <w:numId w:val="7"/>
        </w:numPr>
      </w:pPr>
      <w:r w:rsidRPr="00F45875">
        <w:t xml:space="preserve">Increased use of </w:t>
      </w:r>
      <w:r w:rsidRPr="00F45875">
        <w:rPr>
          <w:b/>
          <w:bCs/>
        </w:rPr>
        <w:t>Physiologically Based Pharmacokinetic (PBPK) modeling</w:t>
      </w:r>
      <w:r w:rsidRPr="00F45875">
        <w:t xml:space="preserve"> </w:t>
      </w:r>
    </w:p>
    <w:p w14:paraId="5B9853A0" w14:textId="77777777" w:rsidR="00F45875" w:rsidRPr="00F45875" w:rsidRDefault="00F45875" w:rsidP="00F45875">
      <w:pPr>
        <w:numPr>
          <w:ilvl w:val="0"/>
          <w:numId w:val="7"/>
        </w:numPr>
      </w:pPr>
      <w:r w:rsidRPr="00F45875">
        <w:t xml:space="preserve">Growing acceptance of </w:t>
      </w:r>
      <w:r w:rsidRPr="00F45875">
        <w:rPr>
          <w:b/>
          <w:bCs/>
        </w:rPr>
        <w:t>in silico bioequivalence simulations</w:t>
      </w:r>
      <w:r w:rsidRPr="00F45875">
        <w:t xml:space="preserve"> </w:t>
      </w:r>
    </w:p>
    <w:p w14:paraId="7DCD1928" w14:textId="77777777" w:rsidR="00F45875" w:rsidRPr="00F45875" w:rsidRDefault="00F45875" w:rsidP="00F45875">
      <w:pPr>
        <w:numPr>
          <w:ilvl w:val="0"/>
          <w:numId w:val="7"/>
        </w:numPr>
      </w:pPr>
      <w:r w:rsidRPr="00F45875">
        <w:t xml:space="preserve">Focus on </w:t>
      </w:r>
      <w:r w:rsidRPr="00F45875">
        <w:rPr>
          <w:b/>
          <w:bCs/>
        </w:rPr>
        <w:t>excipient functionality rather than sameness</w:t>
      </w:r>
      <w:r w:rsidRPr="00F45875">
        <w:t xml:space="preserve"> </w:t>
      </w:r>
    </w:p>
    <w:p w14:paraId="404B1349" w14:textId="77777777" w:rsidR="00F45875" w:rsidRPr="00F45875" w:rsidRDefault="00F45875" w:rsidP="00F45875">
      <w:pPr>
        <w:numPr>
          <w:ilvl w:val="0"/>
          <w:numId w:val="7"/>
        </w:numPr>
      </w:pPr>
      <w:r w:rsidRPr="00F45875">
        <w:t xml:space="preserve">Integration of </w:t>
      </w:r>
      <w:r w:rsidRPr="00F45875">
        <w:rPr>
          <w:b/>
          <w:bCs/>
        </w:rPr>
        <w:t>Quality by Design (</w:t>
      </w:r>
      <w:proofErr w:type="spellStart"/>
      <w:r w:rsidRPr="00F45875">
        <w:rPr>
          <w:b/>
          <w:bCs/>
        </w:rPr>
        <w:t>QbD</w:t>
      </w:r>
      <w:proofErr w:type="spellEnd"/>
      <w:r w:rsidRPr="00F45875">
        <w:rPr>
          <w:b/>
          <w:bCs/>
        </w:rPr>
        <w:t>)</w:t>
      </w:r>
      <w:r w:rsidRPr="00F45875">
        <w:t xml:space="preserve"> in formulation development </w:t>
      </w:r>
    </w:p>
    <w:p w14:paraId="1B2FA5D2" w14:textId="77777777" w:rsidR="00F45875" w:rsidRPr="00F45875" w:rsidRDefault="00F45875" w:rsidP="003144C1">
      <w:pPr>
        <w:pStyle w:val="Heading2"/>
      </w:pPr>
      <w:r w:rsidRPr="00F45875">
        <w:t xml:space="preserve">Regulatory discussions on expanding BCS-based biowaiver eligibility </w:t>
      </w:r>
    </w:p>
    <w:p w14:paraId="2D8006F3" w14:textId="77777777" w:rsidR="00F45875" w:rsidRPr="00F45875" w:rsidRDefault="00F45875" w:rsidP="003144C1">
      <w:pPr>
        <w:pStyle w:val="Heading2"/>
      </w:pPr>
      <w:r w:rsidRPr="00F45875">
        <w:t>Future Directions in BCS Class III Biowaivers</w:t>
      </w:r>
    </w:p>
    <w:p w14:paraId="2397532C" w14:textId="77777777" w:rsidR="00F45875" w:rsidRPr="00F45875" w:rsidRDefault="00F45875" w:rsidP="00F45875">
      <w:pPr>
        <w:rPr>
          <w:b/>
          <w:bCs/>
        </w:rPr>
      </w:pPr>
      <w:r w:rsidRPr="00F45875">
        <w:rPr>
          <w:b/>
          <w:bCs/>
        </w:rPr>
        <w:t>1. Shift Toward Risk-Based Frameworks</w:t>
      </w:r>
    </w:p>
    <w:p w14:paraId="7F5E8FFA" w14:textId="77777777" w:rsidR="00F45875" w:rsidRPr="00F45875" w:rsidRDefault="00F45875" w:rsidP="00F45875">
      <w:r w:rsidRPr="00F45875">
        <w:t>Regulators may adopt:</w:t>
      </w:r>
    </w:p>
    <w:p w14:paraId="69C67795" w14:textId="77777777" w:rsidR="00F45875" w:rsidRPr="00F45875" w:rsidRDefault="00F45875" w:rsidP="00F45875">
      <w:pPr>
        <w:numPr>
          <w:ilvl w:val="0"/>
          <w:numId w:val="8"/>
        </w:numPr>
      </w:pPr>
      <w:r w:rsidRPr="00F45875">
        <w:t xml:space="preserve">Excipient risk profiling </w:t>
      </w:r>
    </w:p>
    <w:p w14:paraId="7DE68271" w14:textId="77777777" w:rsidR="00F45875" w:rsidRPr="00F45875" w:rsidRDefault="00F45875" w:rsidP="00F45875">
      <w:pPr>
        <w:numPr>
          <w:ilvl w:val="0"/>
          <w:numId w:val="8"/>
        </w:numPr>
      </w:pPr>
      <w:r w:rsidRPr="00F45875">
        <w:lastRenderedPageBreak/>
        <w:t xml:space="preserve">Mechanistic absorption modeling </w:t>
      </w:r>
    </w:p>
    <w:p w14:paraId="0F2717CC" w14:textId="77777777" w:rsidR="00F45875" w:rsidRPr="00F45875" w:rsidRDefault="00F45875" w:rsidP="00F45875">
      <w:pPr>
        <w:numPr>
          <w:ilvl w:val="0"/>
          <w:numId w:val="8"/>
        </w:numPr>
      </w:pPr>
      <w:r w:rsidRPr="00F45875">
        <w:t xml:space="preserve">Data-driven decision frameworks </w:t>
      </w:r>
    </w:p>
    <w:p w14:paraId="53774D20" w14:textId="77777777" w:rsidR="00F45875" w:rsidRPr="00F45875" w:rsidRDefault="00F45875" w:rsidP="00F45875">
      <w:pPr>
        <w:rPr>
          <w:b/>
          <w:bCs/>
        </w:rPr>
      </w:pPr>
      <w:r w:rsidRPr="00F45875">
        <w:rPr>
          <w:b/>
          <w:bCs/>
        </w:rPr>
        <w:t>2. Advanced Modeling &amp; Simulation</w:t>
      </w:r>
    </w:p>
    <w:tbl>
      <w:tblPr>
        <w:tblStyle w:val="TableGrid"/>
        <w:tblW w:w="0" w:type="auto"/>
        <w:tblLook w:val="04A0" w:firstRow="1" w:lastRow="0" w:firstColumn="1" w:lastColumn="0" w:noHBand="0" w:noVBand="1"/>
      </w:tblPr>
      <w:tblGrid>
        <w:gridCol w:w="1775"/>
        <w:gridCol w:w="4047"/>
      </w:tblGrid>
      <w:tr w:rsidR="00F45875" w:rsidRPr="00F45875" w14:paraId="5A45ABB7" w14:textId="77777777" w:rsidTr="003144C1">
        <w:tc>
          <w:tcPr>
            <w:tcW w:w="0" w:type="auto"/>
            <w:shd w:val="clear" w:color="auto" w:fill="A5C9EB" w:themeFill="text2" w:themeFillTint="40"/>
            <w:hideMark/>
          </w:tcPr>
          <w:p w14:paraId="22D6A669" w14:textId="77777777" w:rsidR="00F45875" w:rsidRPr="00F45875" w:rsidRDefault="00F45875" w:rsidP="00F45875">
            <w:pPr>
              <w:rPr>
                <w:b/>
                <w:bCs/>
              </w:rPr>
            </w:pPr>
            <w:r w:rsidRPr="00F45875">
              <w:rPr>
                <w:b/>
                <w:bCs/>
              </w:rPr>
              <w:t>Tool</w:t>
            </w:r>
          </w:p>
        </w:tc>
        <w:tc>
          <w:tcPr>
            <w:tcW w:w="0" w:type="auto"/>
            <w:shd w:val="clear" w:color="auto" w:fill="A5C9EB" w:themeFill="text2" w:themeFillTint="40"/>
            <w:hideMark/>
          </w:tcPr>
          <w:p w14:paraId="1FBABF32" w14:textId="77777777" w:rsidR="00F45875" w:rsidRPr="00F45875" w:rsidRDefault="00F45875" w:rsidP="00F45875">
            <w:pPr>
              <w:rPr>
                <w:b/>
                <w:bCs/>
              </w:rPr>
            </w:pPr>
            <w:r w:rsidRPr="00F45875">
              <w:rPr>
                <w:b/>
                <w:bCs/>
              </w:rPr>
              <w:t>Application</w:t>
            </w:r>
          </w:p>
        </w:tc>
      </w:tr>
      <w:tr w:rsidR="00F45875" w:rsidRPr="00F45875" w14:paraId="20A5C142" w14:textId="77777777" w:rsidTr="003144C1">
        <w:tc>
          <w:tcPr>
            <w:tcW w:w="0" w:type="auto"/>
            <w:hideMark/>
          </w:tcPr>
          <w:p w14:paraId="3DD9816B" w14:textId="77777777" w:rsidR="00F45875" w:rsidRPr="00F45875" w:rsidRDefault="00F45875" w:rsidP="00F45875">
            <w:r w:rsidRPr="00F45875">
              <w:t>PBPK Modeling</w:t>
            </w:r>
          </w:p>
        </w:tc>
        <w:tc>
          <w:tcPr>
            <w:tcW w:w="0" w:type="auto"/>
            <w:hideMark/>
          </w:tcPr>
          <w:p w14:paraId="5C46BBF6" w14:textId="77777777" w:rsidR="00F45875" w:rsidRPr="00F45875" w:rsidRDefault="00F45875" w:rsidP="00F45875">
            <w:r w:rsidRPr="00F45875">
              <w:t>Predict in vivo performance</w:t>
            </w:r>
          </w:p>
        </w:tc>
      </w:tr>
      <w:tr w:rsidR="00F45875" w:rsidRPr="00F45875" w14:paraId="038EFBD7" w14:textId="77777777" w:rsidTr="003144C1">
        <w:tc>
          <w:tcPr>
            <w:tcW w:w="0" w:type="auto"/>
            <w:hideMark/>
          </w:tcPr>
          <w:p w14:paraId="11F3C23E" w14:textId="77777777" w:rsidR="00F45875" w:rsidRPr="00F45875" w:rsidRDefault="00F45875" w:rsidP="00F45875">
            <w:r w:rsidRPr="00F45875">
              <w:t>IVIVC</w:t>
            </w:r>
          </w:p>
        </w:tc>
        <w:tc>
          <w:tcPr>
            <w:tcW w:w="0" w:type="auto"/>
            <w:hideMark/>
          </w:tcPr>
          <w:p w14:paraId="4F6F8004" w14:textId="77777777" w:rsidR="00F45875" w:rsidRPr="00F45875" w:rsidRDefault="00F45875" w:rsidP="00F45875">
            <w:r w:rsidRPr="00F45875">
              <w:t>Correlate dissolution with absorption</w:t>
            </w:r>
          </w:p>
        </w:tc>
      </w:tr>
      <w:tr w:rsidR="00F45875" w:rsidRPr="00F45875" w14:paraId="18D74B2F" w14:textId="77777777" w:rsidTr="003144C1">
        <w:tc>
          <w:tcPr>
            <w:tcW w:w="0" w:type="auto"/>
            <w:hideMark/>
          </w:tcPr>
          <w:p w14:paraId="1F60072D" w14:textId="77777777" w:rsidR="00F45875" w:rsidRPr="00F45875" w:rsidRDefault="00F45875" w:rsidP="00F45875">
            <w:r w:rsidRPr="00F45875">
              <w:t>AI/ML Models</w:t>
            </w:r>
          </w:p>
        </w:tc>
        <w:tc>
          <w:tcPr>
            <w:tcW w:w="0" w:type="auto"/>
            <w:hideMark/>
          </w:tcPr>
          <w:p w14:paraId="4200194C" w14:textId="77777777" w:rsidR="00F45875" w:rsidRPr="00F45875" w:rsidRDefault="00F45875" w:rsidP="00F45875">
            <w:r w:rsidRPr="00F45875">
              <w:t>Predict formulation impact</w:t>
            </w:r>
          </w:p>
        </w:tc>
      </w:tr>
    </w:tbl>
    <w:p w14:paraId="7F9257FC" w14:textId="77777777" w:rsidR="003144C1" w:rsidRDefault="003144C1" w:rsidP="003144C1">
      <w:pPr>
        <w:spacing w:after="0"/>
        <w:rPr>
          <w:b/>
          <w:bCs/>
        </w:rPr>
      </w:pPr>
    </w:p>
    <w:p w14:paraId="48E210C6" w14:textId="28A93CE8" w:rsidR="00F45875" w:rsidRPr="00F45875" w:rsidRDefault="00F45875" w:rsidP="00F45875">
      <w:pPr>
        <w:rPr>
          <w:b/>
          <w:bCs/>
        </w:rPr>
      </w:pPr>
      <w:r w:rsidRPr="00F45875">
        <w:rPr>
          <w:b/>
          <w:bCs/>
        </w:rPr>
        <w:t>3. Redefining Excipient Impact</w:t>
      </w:r>
    </w:p>
    <w:p w14:paraId="23AA4C2E" w14:textId="77777777" w:rsidR="00F45875" w:rsidRPr="00F45875" w:rsidRDefault="00F45875" w:rsidP="00F45875">
      <w:r w:rsidRPr="00F45875">
        <w:t>Future research will focus on:</w:t>
      </w:r>
    </w:p>
    <w:p w14:paraId="573948CA" w14:textId="77777777" w:rsidR="00F45875" w:rsidRPr="00F45875" w:rsidRDefault="00F45875" w:rsidP="00F45875">
      <w:pPr>
        <w:numPr>
          <w:ilvl w:val="0"/>
          <w:numId w:val="9"/>
        </w:numPr>
      </w:pPr>
      <w:r w:rsidRPr="00F45875">
        <w:t xml:space="preserve">Transporter interactions </w:t>
      </w:r>
    </w:p>
    <w:p w14:paraId="4BAA638B" w14:textId="77777777" w:rsidR="00F45875" w:rsidRPr="00F45875" w:rsidRDefault="00F45875" w:rsidP="00F45875">
      <w:pPr>
        <w:numPr>
          <w:ilvl w:val="0"/>
          <w:numId w:val="9"/>
        </w:numPr>
      </w:pPr>
      <w:r w:rsidRPr="00F45875">
        <w:t xml:space="preserve">Intestinal permeability modulation </w:t>
      </w:r>
    </w:p>
    <w:p w14:paraId="62B9B67E" w14:textId="77777777" w:rsidR="00F45875" w:rsidRPr="00F45875" w:rsidRDefault="00F45875" w:rsidP="00F45875">
      <w:pPr>
        <w:numPr>
          <w:ilvl w:val="0"/>
          <w:numId w:val="9"/>
        </w:numPr>
      </w:pPr>
      <w:r w:rsidRPr="00F45875">
        <w:t xml:space="preserve">Microenvironmental effects </w:t>
      </w:r>
    </w:p>
    <w:p w14:paraId="16CE945D" w14:textId="77777777" w:rsidR="00F45875" w:rsidRPr="00F45875" w:rsidRDefault="00F45875" w:rsidP="003144C1">
      <w:pPr>
        <w:pStyle w:val="Heading2"/>
      </w:pPr>
      <w:r w:rsidRPr="00F45875">
        <w:t>How Maven Regulatory Solutions Supports Biowaiver Success</w:t>
      </w:r>
    </w:p>
    <w:p w14:paraId="0E1E64B7" w14:textId="77777777" w:rsidR="00F45875" w:rsidRPr="00F45875" w:rsidRDefault="00F45875" w:rsidP="00F45875">
      <w:pPr>
        <w:rPr>
          <w:b/>
          <w:bCs/>
        </w:rPr>
      </w:pPr>
      <w:r w:rsidRPr="00F45875">
        <w:rPr>
          <w:b/>
          <w:bCs/>
        </w:rPr>
        <w:t>1. Regulatory Strategy &amp; ANDA Support</w:t>
      </w:r>
    </w:p>
    <w:p w14:paraId="3F0A8B69" w14:textId="77777777" w:rsidR="00F45875" w:rsidRPr="00F45875" w:rsidRDefault="00F45875" w:rsidP="00F45875">
      <w:pPr>
        <w:numPr>
          <w:ilvl w:val="0"/>
          <w:numId w:val="10"/>
        </w:numPr>
      </w:pPr>
      <w:r w:rsidRPr="00F45875">
        <w:t xml:space="preserve">Biowaiver eligibility assessment </w:t>
      </w:r>
    </w:p>
    <w:p w14:paraId="12930733" w14:textId="77777777" w:rsidR="00F45875" w:rsidRPr="00F45875" w:rsidRDefault="00F45875" w:rsidP="00F45875">
      <w:pPr>
        <w:numPr>
          <w:ilvl w:val="0"/>
          <w:numId w:val="10"/>
        </w:numPr>
      </w:pPr>
      <w:r w:rsidRPr="00F45875">
        <w:t xml:space="preserve">FDA &amp; EMA compliance strategy </w:t>
      </w:r>
    </w:p>
    <w:p w14:paraId="2D87F104" w14:textId="77777777" w:rsidR="00F45875" w:rsidRPr="00F45875" w:rsidRDefault="00F45875" w:rsidP="00F45875">
      <w:pPr>
        <w:numPr>
          <w:ilvl w:val="0"/>
          <w:numId w:val="10"/>
        </w:numPr>
      </w:pPr>
      <w:r w:rsidRPr="00F45875">
        <w:t xml:space="preserve">Gap analysis and risk mitigation </w:t>
      </w:r>
    </w:p>
    <w:p w14:paraId="584BDF36" w14:textId="77777777" w:rsidR="00F45875" w:rsidRPr="00F45875" w:rsidRDefault="00F45875" w:rsidP="00F45875">
      <w:pPr>
        <w:rPr>
          <w:b/>
          <w:bCs/>
        </w:rPr>
      </w:pPr>
      <w:r w:rsidRPr="00F45875">
        <w:rPr>
          <w:b/>
          <w:bCs/>
        </w:rPr>
        <w:t>2. Toxicological Risk Assessment (TRA)</w:t>
      </w:r>
    </w:p>
    <w:p w14:paraId="71BF0889" w14:textId="77777777" w:rsidR="00F45875" w:rsidRPr="00F45875" w:rsidRDefault="00F45875" w:rsidP="00F45875">
      <w:pPr>
        <w:numPr>
          <w:ilvl w:val="0"/>
          <w:numId w:val="11"/>
        </w:numPr>
      </w:pPr>
      <w:r w:rsidRPr="00F45875">
        <w:t xml:space="preserve">Excipient safety profiling </w:t>
      </w:r>
    </w:p>
    <w:p w14:paraId="48B75B84" w14:textId="77777777" w:rsidR="00F45875" w:rsidRPr="00F45875" w:rsidRDefault="00F45875" w:rsidP="00F45875">
      <w:pPr>
        <w:numPr>
          <w:ilvl w:val="0"/>
          <w:numId w:val="11"/>
        </w:numPr>
      </w:pPr>
      <w:r w:rsidRPr="00F45875">
        <w:t xml:space="preserve">Systemic exposure evaluation </w:t>
      </w:r>
    </w:p>
    <w:p w14:paraId="3D3EB896" w14:textId="77777777" w:rsidR="00F45875" w:rsidRPr="00F45875" w:rsidRDefault="00F45875" w:rsidP="00F45875">
      <w:pPr>
        <w:numPr>
          <w:ilvl w:val="0"/>
          <w:numId w:val="11"/>
        </w:numPr>
      </w:pPr>
      <w:r w:rsidRPr="00F45875">
        <w:t xml:space="preserve">Support for novel excipient justification </w:t>
      </w:r>
    </w:p>
    <w:p w14:paraId="5FA33FE3" w14:textId="77777777" w:rsidR="00F45875" w:rsidRPr="00F45875" w:rsidRDefault="00F45875" w:rsidP="00F45875">
      <w:pPr>
        <w:rPr>
          <w:b/>
          <w:bCs/>
        </w:rPr>
      </w:pPr>
      <w:r w:rsidRPr="00F45875">
        <w:rPr>
          <w:b/>
          <w:bCs/>
        </w:rPr>
        <w:t>3. Dissolution &amp; Bioequivalence Expertise</w:t>
      </w:r>
    </w:p>
    <w:p w14:paraId="14D6DCA8" w14:textId="77777777" w:rsidR="00F45875" w:rsidRPr="00F45875" w:rsidRDefault="00F45875" w:rsidP="00F45875">
      <w:pPr>
        <w:numPr>
          <w:ilvl w:val="0"/>
          <w:numId w:val="12"/>
        </w:numPr>
      </w:pPr>
      <w:r w:rsidRPr="00F45875">
        <w:t xml:space="preserve">Development of </w:t>
      </w:r>
      <w:r w:rsidRPr="00F45875">
        <w:rPr>
          <w:b/>
          <w:bCs/>
        </w:rPr>
        <w:t>very rapidly dissolving formulations</w:t>
      </w:r>
      <w:r w:rsidRPr="00F45875">
        <w:t xml:space="preserve"> </w:t>
      </w:r>
    </w:p>
    <w:p w14:paraId="11DBCFCF" w14:textId="77777777" w:rsidR="00F45875" w:rsidRPr="00F45875" w:rsidRDefault="00F45875" w:rsidP="00F45875">
      <w:pPr>
        <w:numPr>
          <w:ilvl w:val="0"/>
          <w:numId w:val="12"/>
        </w:numPr>
      </w:pPr>
      <w:r w:rsidRPr="00F45875">
        <w:t xml:space="preserve">IVIVC and PBPK modeling </w:t>
      </w:r>
    </w:p>
    <w:p w14:paraId="38BFE335" w14:textId="77777777" w:rsidR="00F45875" w:rsidRPr="00F45875" w:rsidRDefault="00F45875" w:rsidP="00F45875">
      <w:pPr>
        <w:numPr>
          <w:ilvl w:val="0"/>
          <w:numId w:val="12"/>
        </w:numPr>
      </w:pPr>
      <w:r w:rsidRPr="00F45875">
        <w:t xml:space="preserve">Biostatistical evaluation </w:t>
      </w:r>
    </w:p>
    <w:p w14:paraId="1F819310" w14:textId="77777777" w:rsidR="00F45875" w:rsidRPr="00F45875" w:rsidRDefault="00F45875" w:rsidP="00F45875">
      <w:pPr>
        <w:rPr>
          <w:b/>
          <w:bCs/>
        </w:rPr>
      </w:pPr>
      <w:r w:rsidRPr="00F45875">
        <w:rPr>
          <w:b/>
          <w:bCs/>
        </w:rPr>
        <w:t>4. End-to-End Regulatory Submission</w:t>
      </w:r>
    </w:p>
    <w:p w14:paraId="48F39711" w14:textId="77777777" w:rsidR="00F45875" w:rsidRPr="00F45875" w:rsidRDefault="00F45875" w:rsidP="00F45875">
      <w:pPr>
        <w:numPr>
          <w:ilvl w:val="0"/>
          <w:numId w:val="13"/>
        </w:numPr>
      </w:pPr>
      <w:r w:rsidRPr="00F45875">
        <w:lastRenderedPageBreak/>
        <w:t xml:space="preserve">ANDA dossier preparation </w:t>
      </w:r>
    </w:p>
    <w:p w14:paraId="43F7413D" w14:textId="77777777" w:rsidR="00F45875" w:rsidRPr="00F45875" w:rsidRDefault="00F45875" w:rsidP="00F45875">
      <w:pPr>
        <w:numPr>
          <w:ilvl w:val="0"/>
          <w:numId w:val="13"/>
        </w:numPr>
      </w:pPr>
      <w:r w:rsidRPr="00F45875">
        <w:t xml:space="preserve">Scientific justification writing </w:t>
      </w:r>
    </w:p>
    <w:p w14:paraId="7F8EA7BC" w14:textId="77777777" w:rsidR="00F45875" w:rsidRPr="00F45875" w:rsidRDefault="00F45875" w:rsidP="00F45875">
      <w:pPr>
        <w:numPr>
          <w:ilvl w:val="0"/>
          <w:numId w:val="13"/>
        </w:numPr>
      </w:pPr>
      <w:r w:rsidRPr="00F45875">
        <w:t xml:space="preserve">Regulatory query management </w:t>
      </w:r>
    </w:p>
    <w:p w14:paraId="24FD914A" w14:textId="77777777" w:rsidR="00F45875" w:rsidRPr="00F45875" w:rsidRDefault="00F45875" w:rsidP="003144C1">
      <w:pPr>
        <w:pStyle w:val="Heading2"/>
      </w:pPr>
      <w:r w:rsidRPr="00F45875">
        <w:t>Conclusion</w:t>
      </w:r>
    </w:p>
    <w:p w14:paraId="2EBB8512" w14:textId="77777777" w:rsidR="00F45875" w:rsidRPr="00F45875" w:rsidRDefault="00F45875" w:rsidP="00F45875">
      <w:r w:rsidRPr="00F45875">
        <w:t xml:space="preserve">The evolving landscape of </w:t>
      </w:r>
      <w:r w:rsidRPr="00F45875">
        <w:rPr>
          <w:b/>
          <w:bCs/>
        </w:rPr>
        <w:t>BCS Class III biowaivers</w:t>
      </w:r>
      <w:r w:rsidRPr="00F45875">
        <w:t xml:space="preserve"> highlights a critical shift from rigid regulatory frameworks toward </w:t>
      </w:r>
      <w:r w:rsidRPr="00F45875">
        <w:rPr>
          <w:b/>
          <w:bCs/>
        </w:rPr>
        <w:t>science-based, flexible approaches</w:t>
      </w:r>
      <w:r w:rsidRPr="00F45875">
        <w:t>. Evidence suggests that:</w:t>
      </w:r>
    </w:p>
    <w:p w14:paraId="6AECDE6D" w14:textId="77777777" w:rsidR="00F45875" w:rsidRPr="00F45875" w:rsidRDefault="00F45875" w:rsidP="00F45875">
      <w:pPr>
        <w:numPr>
          <w:ilvl w:val="0"/>
          <w:numId w:val="14"/>
        </w:numPr>
      </w:pPr>
      <w:r w:rsidRPr="00F45875">
        <w:rPr>
          <w:b/>
          <w:bCs/>
        </w:rPr>
        <w:t>Rapid dissolution may outweigh excipient sameness</w:t>
      </w:r>
      <w:r w:rsidRPr="00F45875">
        <w:t xml:space="preserve"> </w:t>
      </w:r>
    </w:p>
    <w:p w14:paraId="1C1DE21A" w14:textId="77777777" w:rsidR="00F45875" w:rsidRPr="00F45875" w:rsidRDefault="00F45875" w:rsidP="00F45875">
      <w:pPr>
        <w:numPr>
          <w:ilvl w:val="0"/>
          <w:numId w:val="14"/>
        </w:numPr>
      </w:pPr>
      <w:r w:rsidRPr="00F45875">
        <w:rPr>
          <w:b/>
          <w:bCs/>
        </w:rPr>
        <w:t>Bioequivalence can be achieved despite formulation variability</w:t>
      </w:r>
      <w:r w:rsidRPr="00F45875">
        <w:t xml:space="preserve"> </w:t>
      </w:r>
    </w:p>
    <w:p w14:paraId="4177C581" w14:textId="77777777" w:rsidR="00F45875" w:rsidRPr="00F45875" w:rsidRDefault="00F45875" w:rsidP="00F45875">
      <w:pPr>
        <w:numPr>
          <w:ilvl w:val="0"/>
          <w:numId w:val="14"/>
        </w:numPr>
      </w:pPr>
      <w:r w:rsidRPr="00F45875">
        <w:rPr>
          <w:b/>
          <w:bCs/>
        </w:rPr>
        <w:t>Regulatory innovation is essential for efficient generic drug development</w:t>
      </w:r>
      <w:r w:rsidRPr="00F45875">
        <w:t xml:space="preserve"> </w:t>
      </w:r>
    </w:p>
    <w:p w14:paraId="2AE0B956" w14:textId="77777777" w:rsidR="00F45875" w:rsidRPr="00F45875" w:rsidRDefault="00F45875" w:rsidP="00F45875">
      <w:r w:rsidRPr="00F45875">
        <w:t xml:space="preserve">For pharmaceutical companies, leveraging </w:t>
      </w:r>
      <w:r w:rsidRPr="00F45875">
        <w:rPr>
          <w:b/>
          <w:bCs/>
        </w:rPr>
        <w:t>advanced modeling, risk assessment, and regulatory expertise</w:t>
      </w:r>
      <w:r w:rsidRPr="00F45875">
        <w:t xml:space="preserve"> is key to successfully navigating this complex domain.</w:t>
      </w:r>
    </w:p>
    <w:p w14:paraId="5BBDCC7F" w14:textId="45653E3C" w:rsidR="00F45875" w:rsidRPr="00F45875" w:rsidRDefault="00F45875" w:rsidP="003144C1">
      <w:pPr>
        <w:pStyle w:val="Heading2"/>
      </w:pPr>
      <w:r w:rsidRPr="00F45875">
        <w:t>FAQs</w:t>
      </w:r>
    </w:p>
    <w:p w14:paraId="1B5AF8E2" w14:textId="77777777" w:rsidR="00F45875" w:rsidRPr="00F45875" w:rsidRDefault="00F45875" w:rsidP="00F45875">
      <w:pPr>
        <w:rPr>
          <w:b/>
          <w:bCs/>
        </w:rPr>
      </w:pPr>
      <w:r w:rsidRPr="00F45875">
        <w:rPr>
          <w:b/>
          <w:bCs/>
        </w:rPr>
        <w:t>1. What are BCS Class III drugs?</w:t>
      </w:r>
    </w:p>
    <w:p w14:paraId="0C0ABA4A" w14:textId="77777777" w:rsidR="00F45875" w:rsidRPr="00F45875" w:rsidRDefault="00F45875" w:rsidP="00F45875">
      <w:r w:rsidRPr="00F45875">
        <w:t>BCS Class III drugs are highly soluble but have low permeability, making absorption the rate-limiting step.</w:t>
      </w:r>
    </w:p>
    <w:p w14:paraId="222833B2" w14:textId="77777777" w:rsidR="00F45875" w:rsidRPr="00F45875" w:rsidRDefault="00F45875" w:rsidP="00F45875">
      <w:pPr>
        <w:rPr>
          <w:b/>
          <w:bCs/>
        </w:rPr>
      </w:pPr>
      <w:r w:rsidRPr="00F45875">
        <w:rPr>
          <w:b/>
          <w:bCs/>
        </w:rPr>
        <w:t>2. What is a biowaiver for BCS Class III drugs?</w:t>
      </w:r>
    </w:p>
    <w:p w14:paraId="7B5408B4" w14:textId="77777777" w:rsidR="00F45875" w:rsidRPr="00F45875" w:rsidRDefault="00F45875" w:rsidP="00F45875">
      <w:r w:rsidRPr="00F45875">
        <w:t>A regulatory waiver allowing in vivo bioequivalence studies to be replaced with in vitro data under strict conditions.</w:t>
      </w:r>
    </w:p>
    <w:p w14:paraId="3F6FEB4F" w14:textId="77777777" w:rsidR="00F45875" w:rsidRPr="00F45875" w:rsidRDefault="00F45875" w:rsidP="00F45875">
      <w:pPr>
        <w:rPr>
          <w:b/>
          <w:bCs/>
        </w:rPr>
      </w:pPr>
      <w:r w:rsidRPr="00F45875">
        <w:rPr>
          <w:b/>
          <w:bCs/>
        </w:rPr>
        <w:t>3. Why is Q1/Q2 similarity required?</w:t>
      </w:r>
    </w:p>
    <w:p w14:paraId="43A2F9E2" w14:textId="77777777" w:rsidR="00F45875" w:rsidRPr="00F45875" w:rsidRDefault="00F45875" w:rsidP="00F45875">
      <w:r w:rsidRPr="00F45875">
        <w:t>To ensure excipients do not impact drug absorption, although recent studies challenge its necessity.</w:t>
      </w:r>
    </w:p>
    <w:p w14:paraId="1FCD17D3" w14:textId="77777777" w:rsidR="00F45875" w:rsidRPr="00F45875" w:rsidRDefault="00F45875" w:rsidP="00F45875">
      <w:pPr>
        <w:rPr>
          <w:b/>
          <w:bCs/>
        </w:rPr>
      </w:pPr>
      <w:r w:rsidRPr="00F45875">
        <w:rPr>
          <w:b/>
          <w:bCs/>
        </w:rPr>
        <w:t>4. What is “very rapidly dissolving”?</w:t>
      </w:r>
    </w:p>
    <w:p w14:paraId="1A17CEB3" w14:textId="77777777" w:rsidR="00F45875" w:rsidRPr="00F45875" w:rsidRDefault="00F45875" w:rsidP="00F45875">
      <w:r w:rsidRPr="00F45875">
        <w:t xml:space="preserve">At least </w:t>
      </w:r>
      <w:r w:rsidRPr="00F45875">
        <w:rPr>
          <w:b/>
          <w:bCs/>
        </w:rPr>
        <w:t>85% drug release within 15 minutes</w:t>
      </w:r>
      <w:r w:rsidRPr="00F45875">
        <w:t xml:space="preserve"> across all tested conditions.</w:t>
      </w:r>
    </w:p>
    <w:p w14:paraId="191527CE" w14:textId="77777777" w:rsidR="00F45875" w:rsidRPr="00F45875" w:rsidRDefault="00F45875" w:rsidP="00F45875">
      <w:pPr>
        <w:rPr>
          <w:b/>
          <w:bCs/>
        </w:rPr>
      </w:pPr>
      <w:r w:rsidRPr="00F45875">
        <w:rPr>
          <w:b/>
          <w:bCs/>
        </w:rPr>
        <w:t>5. Can excipient differences affect bioequivalence?</w:t>
      </w:r>
    </w:p>
    <w:p w14:paraId="5BA4C015" w14:textId="77777777" w:rsidR="00F45875" w:rsidRPr="00F45875" w:rsidRDefault="00F45875" w:rsidP="00F45875">
      <w:r w:rsidRPr="00F45875">
        <w:t>Yes, but evidence shows minimal impact when dissolution is rapid and permeability remains the limiting factor.</w:t>
      </w:r>
    </w:p>
    <w:p w14:paraId="28CE8EA5" w14:textId="77777777" w:rsidR="00F45875" w:rsidRPr="00F45875" w:rsidRDefault="00F45875" w:rsidP="00F45875">
      <w:pPr>
        <w:rPr>
          <w:b/>
          <w:bCs/>
        </w:rPr>
      </w:pPr>
      <w:r w:rsidRPr="00F45875">
        <w:rPr>
          <w:b/>
          <w:bCs/>
        </w:rPr>
        <w:lastRenderedPageBreak/>
        <w:t>6. What is the future of BCS Class III biowaivers?</w:t>
      </w:r>
    </w:p>
    <w:p w14:paraId="174305AB" w14:textId="77777777" w:rsidR="00F45875" w:rsidRDefault="00F45875" w:rsidP="00F45875">
      <w:r w:rsidRPr="00F45875">
        <w:t xml:space="preserve">A shift toward </w:t>
      </w:r>
      <w:r w:rsidRPr="00F45875">
        <w:rPr>
          <w:b/>
          <w:bCs/>
        </w:rPr>
        <w:t>risk-based approaches, PBPK modeling, and flexible regulatory frameworks</w:t>
      </w:r>
      <w:r w:rsidRPr="00F45875">
        <w:t>.</w:t>
      </w:r>
    </w:p>
    <w:p w14:paraId="52BE9E9C" w14:textId="77777777" w:rsidR="003144C1" w:rsidRDefault="003144C1" w:rsidP="003144C1">
      <w:pPr>
        <w:rPr>
          <w:b/>
          <w:bCs/>
        </w:rPr>
      </w:pPr>
    </w:p>
    <w:p w14:paraId="2B64CB07" w14:textId="70B45F72" w:rsidR="003144C1" w:rsidRPr="00F45875" w:rsidRDefault="003144C1" w:rsidP="003144C1">
      <w:pPr>
        <w:rPr>
          <w:b/>
          <w:bCs/>
        </w:rPr>
      </w:pPr>
      <w:r w:rsidRPr="00F45875">
        <w:rPr>
          <w:b/>
          <w:bCs/>
        </w:rPr>
        <w:t xml:space="preserve">Meta Title </w:t>
      </w:r>
    </w:p>
    <w:p w14:paraId="54CD82C4" w14:textId="77777777" w:rsidR="003144C1" w:rsidRPr="003144C1" w:rsidRDefault="003144C1" w:rsidP="003144C1">
      <w:r w:rsidRPr="003144C1">
        <w:t>BCS Class III Biowaivers: FDA Challenges &amp; Future Trends</w:t>
      </w:r>
    </w:p>
    <w:p w14:paraId="6B1E6E05" w14:textId="77777777" w:rsidR="003144C1" w:rsidRPr="00F45875" w:rsidRDefault="003144C1" w:rsidP="003144C1">
      <w:pPr>
        <w:rPr>
          <w:b/>
          <w:bCs/>
        </w:rPr>
      </w:pPr>
      <w:r w:rsidRPr="00F45875">
        <w:rPr>
          <w:b/>
          <w:bCs/>
        </w:rPr>
        <w:t>Meta Summary</w:t>
      </w:r>
    </w:p>
    <w:p w14:paraId="096FA756" w14:textId="77777777" w:rsidR="003144C1" w:rsidRPr="00F45875" w:rsidRDefault="003144C1" w:rsidP="003144C1">
      <w:r w:rsidRPr="00F45875">
        <w:t>Explore regulatory challenges, FDA guidance, and future directions for BCS Class III biowaivers. Learn how formulation, excipients, and dissolution impact ANDA approvals with expert insights from Maven Regulatory Solutions.</w:t>
      </w:r>
    </w:p>
    <w:p w14:paraId="1B7348EA" w14:textId="037B20F4" w:rsidR="003144C1" w:rsidRPr="00F45875" w:rsidRDefault="003144C1" w:rsidP="003144C1">
      <w:pPr>
        <w:rPr>
          <w:b/>
          <w:bCs/>
        </w:rPr>
      </w:pPr>
      <w:r w:rsidRPr="00F45875">
        <w:rPr>
          <w:b/>
          <w:bCs/>
        </w:rPr>
        <w:t>Meta Keywords</w:t>
      </w:r>
    </w:p>
    <w:p w14:paraId="7DA50C28" w14:textId="4C6CBAD0" w:rsidR="00260889" w:rsidRDefault="003144C1" w:rsidP="00260889">
      <w:r w:rsidRPr="00F45875">
        <w:t>BCS Class III biowaiver, FDA biowaiver guidance, ANDA biowaiver strategy, bioequivalence BCS drugs, Q1 Q2 similarity FDA, very rapidly dissolving drugs, excipient risk assessment, IVIVC modeling, permeability limited drugs, dissolution bioequivalence, regulatory strategy biowaivers, pharmaceutical regulatory consulting, Maven Regulatory Solutions, in vitro bioequivalence, BCS Class III challenges, drug absorption excipients, EMA biowaiver guidelines, generic drug approval strategy, biopharmaceutics classification system, regulatory toxicology excipients, in silico BE modeling, bioequivalence waiver FDA</w:t>
      </w:r>
    </w:p>
    <w:p w14:paraId="6BDBCCB0" w14:textId="77777777" w:rsidR="00CA7A5F" w:rsidRPr="001F07E6" w:rsidRDefault="00CA7A5F" w:rsidP="00CA7A5F">
      <w:pPr>
        <w:rPr>
          <w:b/>
          <w:bCs/>
        </w:rPr>
      </w:pPr>
      <w:r w:rsidRPr="001F07E6">
        <w:rPr>
          <w:b/>
          <w:bCs/>
        </w:rPr>
        <w:t>Blog Tags</w:t>
      </w:r>
    </w:p>
    <w:p w14:paraId="773460D3" w14:textId="282EE724" w:rsidR="00CA7A5F" w:rsidRPr="00454EAD" w:rsidRDefault="00CA7A5F" w:rsidP="00CA7A5F">
      <w:hyperlink r:id="rId10" w:history="1">
        <w:r w:rsidRPr="00454EAD">
          <w:rPr>
            <w:rStyle w:val="Hyperlink"/>
            <w:u w:val="none"/>
          </w:rPr>
          <w:t>Pharmaceuticals</w:t>
        </w:r>
      </w:hyperlink>
      <w:r w:rsidRPr="00454EAD">
        <w:t xml:space="preserve"> , </w:t>
      </w:r>
      <w:hyperlink r:id="rId11" w:history="1">
        <w:r w:rsidRPr="00454EAD">
          <w:rPr>
            <w:rStyle w:val="Hyperlink"/>
            <w:u w:val="none"/>
          </w:rPr>
          <w:t>Biologics</w:t>
        </w:r>
      </w:hyperlink>
      <w:r w:rsidRPr="00454EAD">
        <w:t xml:space="preserve"> </w:t>
      </w:r>
      <w:r>
        <w:t>,</w:t>
      </w:r>
      <w:hyperlink r:id="rId12" w:history="1">
        <w:r w:rsidRPr="00454EAD">
          <w:rPr>
            <w:rStyle w:val="Hyperlink"/>
            <w:u w:val="none"/>
          </w:rPr>
          <w:t>Regulatory Affairs</w:t>
        </w:r>
      </w:hyperlink>
      <w:r w:rsidRPr="00454EAD">
        <w:t xml:space="preserve"> , </w:t>
      </w:r>
      <w:hyperlink r:id="rId13" w:history="1">
        <w:r w:rsidRPr="00454EAD">
          <w:rPr>
            <w:rStyle w:val="Hyperlink"/>
            <w:u w:val="none"/>
          </w:rPr>
          <w:t>Regulatory Strategy &amp; Reports</w:t>
        </w:r>
      </w:hyperlink>
      <w:r w:rsidRPr="00454EAD">
        <w:t xml:space="preserve"> , </w:t>
      </w:r>
      <w:hyperlink r:id="rId14" w:history="1">
        <w:r w:rsidRPr="00454EAD">
          <w:rPr>
            <w:rStyle w:val="Hyperlink"/>
            <w:u w:val="none"/>
          </w:rPr>
          <w:t>Regulatory Compliance</w:t>
        </w:r>
      </w:hyperlink>
      <w:r w:rsidRPr="00454EAD">
        <w:t xml:space="preserve"> , </w:t>
      </w:r>
      <w:hyperlink r:id="rId15" w:history="1">
        <w:r w:rsidRPr="00454EAD">
          <w:rPr>
            <w:rStyle w:val="Hyperlink"/>
            <w:u w:val="none"/>
          </w:rPr>
          <w:t>Regulatory Consulting</w:t>
        </w:r>
      </w:hyperlink>
      <w:r>
        <w:t xml:space="preserve">, </w:t>
      </w:r>
      <w:hyperlink r:id="rId16" w:history="1">
        <w:r w:rsidRPr="00454EAD">
          <w:rPr>
            <w:rStyle w:val="Hyperlink"/>
            <w:u w:val="none"/>
          </w:rPr>
          <w:t>Life Cycle Management</w:t>
        </w:r>
      </w:hyperlink>
      <w:r w:rsidRPr="00454EAD">
        <w:t xml:space="preserve"> , </w:t>
      </w:r>
      <w:hyperlink r:id="rId17" w:history="1">
        <w:r w:rsidRPr="00454EAD">
          <w:rPr>
            <w:rStyle w:val="Hyperlink"/>
            <w:u w:val="none"/>
          </w:rPr>
          <w:t>Maven Labeling Services</w:t>
        </w:r>
      </w:hyperlink>
      <w:r w:rsidRPr="00454EAD">
        <w:t xml:space="preserve"> , </w:t>
      </w:r>
      <w:hyperlink r:id="rId18" w:history="1">
        <w:r w:rsidRPr="00454EAD">
          <w:rPr>
            <w:rStyle w:val="Hyperlink"/>
            <w:u w:val="none"/>
          </w:rPr>
          <w:t>Artwork Services</w:t>
        </w:r>
      </w:hyperlink>
      <w:r w:rsidRPr="00454EAD">
        <w:t xml:space="preserve"> </w:t>
      </w:r>
    </w:p>
    <w:p w14:paraId="71D3F7F1" w14:textId="77777777" w:rsidR="00CA7A5F" w:rsidRPr="00260889" w:rsidRDefault="00CA7A5F" w:rsidP="00260889"/>
    <w:sectPr w:rsidR="00CA7A5F" w:rsidRPr="00260889" w:rsidSect="001B7CFA">
      <w:pgSz w:w="12240" w:h="15840" w:code="1"/>
      <w:pgMar w:top="1958" w:right="1440" w:bottom="1440" w:left="1440" w:header="562" w:footer="37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4C91"/>
    <w:multiLevelType w:val="multilevel"/>
    <w:tmpl w:val="2CB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B2F86"/>
    <w:multiLevelType w:val="multilevel"/>
    <w:tmpl w:val="E44E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46AD8"/>
    <w:multiLevelType w:val="multilevel"/>
    <w:tmpl w:val="5EAC7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B50FB"/>
    <w:multiLevelType w:val="multilevel"/>
    <w:tmpl w:val="EC88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D1EEF"/>
    <w:multiLevelType w:val="multilevel"/>
    <w:tmpl w:val="D2B2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14483"/>
    <w:multiLevelType w:val="multilevel"/>
    <w:tmpl w:val="2F90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8233C"/>
    <w:multiLevelType w:val="multilevel"/>
    <w:tmpl w:val="C6B2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770BE"/>
    <w:multiLevelType w:val="multilevel"/>
    <w:tmpl w:val="01AE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55D41"/>
    <w:multiLevelType w:val="multilevel"/>
    <w:tmpl w:val="BA3A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C1617A"/>
    <w:multiLevelType w:val="multilevel"/>
    <w:tmpl w:val="9F8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303281"/>
    <w:multiLevelType w:val="multilevel"/>
    <w:tmpl w:val="78A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66207D"/>
    <w:multiLevelType w:val="multilevel"/>
    <w:tmpl w:val="0CC8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D3B96"/>
    <w:multiLevelType w:val="multilevel"/>
    <w:tmpl w:val="3552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C6271C"/>
    <w:multiLevelType w:val="multilevel"/>
    <w:tmpl w:val="188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516806">
    <w:abstractNumId w:val="5"/>
  </w:num>
  <w:num w:numId="2" w16cid:durableId="941297684">
    <w:abstractNumId w:val="7"/>
  </w:num>
  <w:num w:numId="3" w16cid:durableId="1536845995">
    <w:abstractNumId w:val="2"/>
  </w:num>
  <w:num w:numId="4" w16cid:durableId="769470075">
    <w:abstractNumId w:val="3"/>
  </w:num>
  <w:num w:numId="5" w16cid:durableId="2038967167">
    <w:abstractNumId w:val="11"/>
  </w:num>
  <w:num w:numId="6" w16cid:durableId="827524884">
    <w:abstractNumId w:val="12"/>
  </w:num>
  <w:num w:numId="7" w16cid:durableId="826550836">
    <w:abstractNumId w:val="8"/>
  </w:num>
  <w:num w:numId="8" w16cid:durableId="1325166516">
    <w:abstractNumId w:val="6"/>
  </w:num>
  <w:num w:numId="9" w16cid:durableId="361172378">
    <w:abstractNumId w:val="4"/>
  </w:num>
  <w:num w:numId="10" w16cid:durableId="322516198">
    <w:abstractNumId w:val="13"/>
  </w:num>
  <w:num w:numId="11" w16cid:durableId="1020855568">
    <w:abstractNumId w:val="1"/>
  </w:num>
  <w:num w:numId="12" w16cid:durableId="1115520168">
    <w:abstractNumId w:val="9"/>
  </w:num>
  <w:num w:numId="13" w16cid:durableId="1192302799">
    <w:abstractNumId w:val="0"/>
  </w:num>
  <w:num w:numId="14" w16cid:durableId="16542618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7F3"/>
    <w:rsid w:val="001134BF"/>
    <w:rsid w:val="001B7CFA"/>
    <w:rsid w:val="00220306"/>
    <w:rsid w:val="0025751C"/>
    <w:rsid w:val="00260889"/>
    <w:rsid w:val="002A130E"/>
    <w:rsid w:val="002B0903"/>
    <w:rsid w:val="003144C1"/>
    <w:rsid w:val="00414E3B"/>
    <w:rsid w:val="00501624"/>
    <w:rsid w:val="00590E61"/>
    <w:rsid w:val="005B4E77"/>
    <w:rsid w:val="005D5421"/>
    <w:rsid w:val="006C0DC2"/>
    <w:rsid w:val="008C5298"/>
    <w:rsid w:val="008E3088"/>
    <w:rsid w:val="0095074C"/>
    <w:rsid w:val="009F41DD"/>
    <w:rsid w:val="00A5556F"/>
    <w:rsid w:val="00AF5CBB"/>
    <w:rsid w:val="00BE52A6"/>
    <w:rsid w:val="00BF5489"/>
    <w:rsid w:val="00C21B7B"/>
    <w:rsid w:val="00CA7A5F"/>
    <w:rsid w:val="00CD67F3"/>
    <w:rsid w:val="00CD7253"/>
    <w:rsid w:val="00D9786F"/>
    <w:rsid w:val="00EB5C25"/>
    <w:rsid w:val="00F13E91"/>
    <w:rsid w:val="00F45875"/>
    <w:rsid w:val="00FA6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9E9FC"/>
  <w15:chartTrackingRefBased/>
  <w15:docId w15:val="{78183907-7545-4AC6-8242-2E3DE63B4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6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6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7F3"/>
    <w:rPr>
      <w:rFonts w:eastAsiaTheme="majorEastAsia" w:cstheme="majorBidi"/>
      <w:color w:val="272727" w:themeColor="text1" w:themeTint="D8"/>
    </w:rPr>
  </w:style>
  <w:style w:type="paragraph" w:styleId="Title">
    <w:name w:val="Title"/>
    <w:basedOn w:val="Normal"/>
    <w:next w:val="Normal"/>
    <w:link w:val="TitleChar"/>
    <w:uiPriority w:val="10"/>
    <w:qFormat/>
    <w:rsid w:val="00CD6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7F3"/>
    <w:pPr>
      <w:spacing w:before="160"/>
      <w:jc w:val="center"/>
    </w:pPr>
    <w:rPr>
      <w:i/>
      <w:iCs/>
      <w:color w:val="404040" w:themeColor="text1" w:themeTint="BF"/>
    </w:rPr>
  </w:style>
  <w:style w:type="character" w:customStyle="1" w:styleId="QuoteChar">
    <w:name w:val="Quote Char"/>
    <w:basedOn w:val="DefaultParagraphFont"/>
    <w:link w:val="Quote"/>
    <w:uiPriority w:val="29"/>
    <w:rsid w:val="00CD67F3"/>
    <w:rPr>
      <w:i/>
      <w:iCs/>
      <w:color w:val="404040" w:themeColor="text1" w:themeTint="BF"/>
    </w:rPr>
  </w:style>
  <w:style w:type="paragraph" w:styleId="ListParagraph">
    <w:name w:val="List Paragraph"/>
    <w:basedOn w:val="Normal"/>
    <w:uiPriority w:val="34"/>
    <w:qFormat/>
    <w:rsid w:val="00CD67F3"/>
    <w:pPr>
      <w:ind w:left="720"/>
      <w:contextualSpacing/>
    </w:pPr>
  </w:style>
  <w:style w:type="character" w:styleId="IntenseEmphasis">
    <w:name w:val="Intense Emphasis"/>
    <w:basedOn w:val="DefaultParagraphFont"/>
    <w:uiPriority w:val="21"/>
    <w:qFormat/>
    <w:rsid w:val="00CD67F3"/>
    <w:rPr>
      <w:i/>
      <w:iCs/>
      <w:color w:val="0F4761" w:themeColor="accent1" w:themeShade="BF"/>
    </w:rPr>
  </w:style>
  <w:style w:type="paragraph" w:styleId="IntenseQuote">
    <w:name w:val="Intense Quote"/>
    <w:basedOn w:val="Normal"/>
    <w:next w:val="Normal"/>
    <w:link w:val="IntenseQuoteChar"/>
    <w:uiPriority w:val="30"/>
    <w:qFormat/>
    <w:rsid w:val="00CD6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7F3"/>
    <w:rPr>
      <w:i/>
      <w:iCs/>
      <w:color w:val="0F4761" w:themeColor="accent1" w:themeShade="BF"/>
    </w:rPr>
  </w:style>
  <w:style w:type="character" w:styleId="IntenseReference">
    <w:name w:val="Intense Reference"/>
    <w:basedOn w:val="DefaultParagraphFont"/>
    <w:uiPriority w:val="32"/>
    <w:qFormat/>
    <w:rsid w:val="00CD67F3"/>
    <w:rPr>
      <w:b/>
      <w:bCs/>
      <w:smallCaps/>
      <w:color w:val="0F4761" w:themeColor="accent1" w:themeShade="BF"/>
      <w:spacing w:val="5"/>
    </w:rPr>
  </w:style>
  <w:style w:type="character" w:styleId="Hyperlink">
    <w:name w:val="Hyperlink"/>
    <w:basedOn w:val="DefaultParagraphFont"/>
    <w:uiPriority w:val="99"/>
    <w:unhideWhenUsed/>
    <w:rsid w:val="00260889"/>
    <w:rPr>
      <w:color w:val="467886"/>
      <w:u w:val="single"/>
    </w:rPr>
  </w:style>
  <w:style w:type="character" w:styleId="UnresolvedMention">
    <w:name w:val="Unresolved Mention"/>
    <w:basedOn w:val="DefaultParagraphFont"/>
    <w:uiPriority w:val="99"/>
    <w:semiHidden/>
    <w:unhideWhenUsed/>
    <w:rsid w:val="00260889"/>
    <w:rPr>
      <w:color w:val="605E5C"/>
      <w:shd w:val="clear" w:color="auto" w:fill="E1DFDD"/>
    </w:rPr>
  </w:style>
  <w:style w:type="table" w:styleId="TableGrid">
    <w:name w:val="Table Grid"/>
    <w:basedOn w:val="TableNormal"/>
    <w:uiPriority w:val="39"/>
    <w:rsid w:val="003144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venrs.com/pharmaceutical-biologics" TargetMode="External"/><Relationship Id="rId13" Type="http://schemas.openxmlformats.org/officeDocument/2006/relationships/hyperlink" Target="https://www.mavenrs.com/regulatory-strategy-reports" TargetMode="External"/><Relationship Id="rId18" Type="http://schemas.openxmlformats.org/officeDocument/2006/relationships/hyperlink" Target="https://www.mavenrs.com/artwork-services" TargetMode="External"/><Relationship Id="rId3" Type="http://schemas.openxmlformats.org/officeDocument/2006/relationships/settings" Target="settings.xml"/><Relationship Id="rId7" Type="http://schemas.openxmlformats.org/officeDocument/2006/relationships/hyperlink" Target="Url:-" TargetMode="External"/><Relationship Id="rId12" Type="http://schemas.openxmlformats.org/officeDocument/2006/relationships/hyperlink" Target="https://www.mavenrs.com/regulatory-affairs" TargetMode="External"/><Relationship Id="rId17" Type="http://schemas.openxmlformats.org/officeDocument/2006/relationships/hyperlink" Target="https://www.mavenrs.com/labelling-services" TargetMode="External"/><Relationship Id="rId2" Type="http://schemas.openxmlformats.org/officeDocument/2006/relationships/styles" Target="styles.xml"/><Relationship Id="rId16" Type="http://schemas.openxmlformats.org/officeDocument/2006/relationships/hyperlink" Target="https://www.mavenrs.com/life-cycle-managemen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avenrs.com/blog/biowaivers-for-bcs-class-iii-drugs-current-challenges-and-future-directions-introduction" TargetMode="External"/><Relationship Id="rId11" Type="http://schemas.openxmlformats.org/officeDocument/2006/relationships/hyperlink" Target="https://www.mavenrs.com/biologics" TargetMode="External"/><Relationship Id="rId5" Type="http://schemas.openxmlformats.org/officeDocument/2006/relationships/hyperlink" Target="Url:-" TargetMode="External"/><Relationship Id="rId15" Type="http://schemas.openxmlformats.org/officeDocument/2006/relationships/hyperlink" Target="https://www.mavenrs.com/regulatory-consulting" TargetMode="External"/><Relationship Id="rId10" Type="http://schemas.openxmlformats.org/officeDocument/2006/relationships/hyperlink" Target="https://www.mavenrs.com/pharmaceutical-biologic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avenrs.com/regulatory-affairs" TargetMode="External"/><Relationship Id="rId14" Type="http://schemas.openxmlformats.org/officeDocument/2006/relationships/hyperlink" Target="https://www.mavenrs.com/regulatory-compli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206</TotalTime>
  <Pages>6</Pages>
  <Words>1028</Words>
  <Characters>7200</Characters>
  <Application>Microsoft Office Word</Application>
  <DocSecurity>0</DocSecurity>
  <Lines>200</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prakash</dc:creator>
  <cp:keywords/>
  <dc:description/>
  <cp:lastModifiedBy>Priyanka prakash</cp:lastModifiedBy>
  <cp:revision>6</cp:revision>
  <dcterms:created xsi:type="dcterms:W3CDTF">2026-04-06T06:03:00Z</dcterms:created>
  <dcterms:modified xsi:type="dcterms:W3CDTF">2026-04-09T12:09:00Z</dcterms:modified>
</cp:coreProperties>
</file>