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D2B24" w14:textId="77777777" w:rsidR="00F021B0" w:rsidRDefault="00F021B0" w:rsidP="00F021B0">
      <w:r w:rsidRPr="00260889">
        <w:t xml:space="preserve">Category: - </w:t>
      </w:r>
      <w:r>
        <w:t>Chemicals</w:t>
      </w:r>
      <w:r>
        <w:tab/>
      </w:r>
    </w:p>
    <w:p w14:paraId="5931DE46" w14:textId="6CA3BED1" w:rsidR="00501624" w:rsidRDefault="00F021B0">
      <w:r w:rsidRPr="00260889">
        <w:t xml:space="preserve">Old </w:t>
      </w:r>
      <w:hyperlink r:id="rId5" w:history="1">
        <w:r w:rsidRPr="00FA4BBC">
          <w:rPr>
            <w:rStyle w:val="Hyperlink"/>
          </w:rPr>
          <w:t>Url:-</w:t>
        </w:r>
      </w:hyperlink>
      <w:r>
        <w:t xml:space="preserve"> </w:t>
      </w:r>
      <w:hyperlink r:id="rId6" w:history="1">
        <w:r w:rsidRPr="00FA4BBC">
          <w:rPr>
            <w:rStyle w:val="Hyperlink"/>
          </w:rPr>
          <w:t>https://www.mavenrs.com/blog/chemical-registration-in-malaysia-a-comprehensive-guide</w:t>
        </w:r>
      </w:hyperlink>
    </w:p>
    <w:p w14:paraId="6D98731A" w14:textId="114C90BF" w:rsidR="00565E0F" w:rsidRPr="00565E0F" w:rsidRDefault="00565E0F">
      <w:r>
        <w:t xml:space="preserve">New </w:t>
      </w:r>
      <w:hyperlink r:id="rId7" w:history="1">
        <w:r w:rsidRPr="002D28A2">
          <w:rPr>
            <w:rStyle w:val="Hyperlink"/>
          </w:rPr>
          <w:t>Url:-</w:t>
        </w:r>
      </w:hyperlink>
      <w:r>
        <w:t xml:space="preserve"> </w:t>
      </w:r>
      <w:r w:rsidRPr="00565E0F">
        <w:t>/chemical-registration-malaysia-myehs-class-regulations-compliance-maven</w:t>
      </w:r>
    </w:p>
    <w:p w14:paraId="2EC31338" w14:textId="073341B7" w:rsidR="00A30DEA" w:rsidRPr="00A30DEA" w:rsidRDefault="00A30DEA" w:rsidP="00565E0F">
      <w:pPr>
        <w:pStyle w:val="Heading1"/>
      </w:pPr>
      <w:r w:rsidRPr="00A30DEA">
        <w:t xml:space="preserve">Chemical Registration </w:t>
      </w:r>
      <w:r w:rsidR="00565E0F" w:rsidRPr="00A30DEA">
        <w:t>in</w:t>
      </w:r>
      <w:r w:rsidRPr="00A30DEA">
        <w:t xml:space="preserve"> Malaysia: A Comprehensive Guide</w:t>
      </w:r>
    </w:p>
    <w:p w14:paraId="7D7052B3" w14:textId="3DE65C49" w:rsidR="00A30DEA" w:rsidRPr="00FC2CCC" w:rsidRDefault="00A30DEA" w:rsidP="00A30DEA">
      <w:r w:rsidRPr="00FC2CCC">
        <w:t xml:space="preserve">Malaysia has emerged as a </w:t>
      </w:r>
      <w:r w:rsidRPr="00FC2CCC">
        <w:rPr>
          <w:b/>
          <w:bCs/>
        </w:rPr>
        <w:t>strategic hub in the global chemical industry</w:t>
      </w:r>
      <w:r w:rsidRPr="00FC2CCC">
        <w:t xml:space="preserve">, supported by a robust regulatory framework that prioritizes </w:t>
      </w:r>
      <w:hyperlink r:id="rId8" w:history="1">
        <w:r w:rsidRPr="00FC2CCC">
          <w:rPr>
            <w:rStyle w:val="Hyperlink"/>
            <w:b/>
            <w:bCs/>
            <w:u w:val="none"/>
          </w:rPr>
          <w:t>chemical</w:t>
        </w:r>
      </w:hyperlink>
      <w:r w:rsidRPr="00FC2CCC">
        <w:rPr>
          <w:b/>
          <w:bCs/>
        </w:rPr>
        <w:t xml:space="preserve"> safety, environmental protection, and occupational health</w:t>
      </w:r>
      <w:r w:rsidRPr="00FC2CCC">
        <w:t xml:space="preserve">. For companies involved in manufacturing, importing, or distributing chemicals, </w:t>
      </w:r>
      <w:r w:rsidRPr="00FC2CCC">
        <w:rPr>
          <w:b/>
          <w:bCs/>
        </w:rPr>
        <w:t>chemical registration in Malaysia</w:t>
      </w:r>
      <w:r w:rsidRPr="00FC2CCC">
        <w:t xml:space="preserve"> is a critical requirement to ensure </w:t>
      </w:r>
      <w:r w:rsidRPr="00FC2CCC">
        <w:rPr>
          <w:b/>
          <w:bCs/>
        </w:rPr>
        <w:t xml:space="preserve">legal market access and </w:t>
      </w:r>
      <w:hyperlink r:id="rId9" w:history="1">
        <w:r w:rsidRPr="00FC2CCC">
          <w:rPr>
            <w:rStyle w:val="Hyperlink"/>
            <w:b/>
            <w:bCs/>
            <w:u w:val="none"/>
          </w:rPr>
          <w:t>regulatory compliance</w:t>
        </w:r>
        <w:r w:rsidRPr="00FC2CCC">
          <w:rPr>
            <w:rStyle w:val="Hyperlink"/>
            <w:u w:val="none"/>
          </w:rPr>
          <w:t>.</w:t>
        </w:r>
      </w:hyperlink>
    </w:p>
    <w:p w14:paraId="592191B1" w14:textId="77777777" w:rsidR="00A30DEA" w:rsidRPr="00A30DEA" w:rsidRDefault="00A30DEA" w:rsidP="00A30DEA">
      <w:r w:rsidRPr="00A30DEA">
        <w:t xml:space="preserve">The Malaysian regulatory system is governed by multiple authorities, primarily the </w:t>
      </w:r>
      <w:r w:rsidRPr="00A30DEA">
        <w:rPr>
          <w:b/>
          <w:bCs/>
        </w:rPr>
        <w:t>Department of Occupational Safety and Health (DOSH)</w:t>
      </w:r>
      <w:r w:rsidRPr="00A30DEA">
        <w:t xml:space="preserve"> and the </w:t>
      </w:r>
      <w:r w:rsidRPr="00A30DEA">
        <w:rPr>
          <w:b/>
          <w:bCs/>
        </w:rPr>
        <w:t>Department of Environment (DOE)</w:t>
      </w:r>
      <w:r w:rsidRPr="00A30DEA">
        <w:t xml:space="preserve">. Understanding the </w:t>
      </w:r>
      <w:proofErr w:type="spellStart"/>
      <w:r w:rsidRPr="00A30DEA">
        <w:rPr>
          <w:b/>
          <w:bCs/>
        </w:rPr>
        <w:t>MyEHS</w:t>
      </w:r>
      <w:proofErr w:type="spellEnd"/>
      <w:r w:rsidRPr="00A30DEA">
        <w:rPr>
          <w:b/>
          <w:bCs/>
        </w:rPr>
        <w:t xml:space="preserve"> notification system, CLASS regulations, and SDS compliance requirements</w:t>
      </w:r>
      <w:r w:rsidRPr="00A30DEA">
        <w:t xml:space="preserve"> is essential for seamless operations.</w:t>
      </w:r>
    </w:p>
    <w:p w14:paraId="77DF0618" w14:textId="77777777" w:rsidR="00A30DEA" w:rsidRPr="00A30DEA" w:rsidRDefault="00A30DEA" w:rsidP="00A30DEA">
      <w:r w:rsidRPr="00A30DEA">
        <w:t xml:space="preserve">This comprehensive guide outlines the </w:t>
      </w:r>
      <w:r w:rsidRPr="00A30DEA">
        <w:rPr>
          <w:b/>
          <w:bCs/>
        </w:rPr>
        <w:t>regulatory landscape, registration procedures, compliance obligations, and best practices</w:t>
      </w:r>
      <w:r w:rsidRPr="00A30DEA">
        <w:t xml:space="preserve"> for chemical registration in Malaysia.</w:t>
      </w:r>
    </w:p>
    <w:p w14:paraId="24AA906B" w14:textId="77777777" w:rsidR="00A30DEA" w:rsidRPr="00A30DEA" w:rsidRDefault="00A30DEA" w:rsidP="00565E0F">
      <w:pPr>
        <w:pStyle w:val="Heading2"/>
      </w:pPr>
      <w:r w:rsidRPr="00A30DEA">
        <w:t>Regulatory Framework for Chemical Registration in Malaysia</w:t>
      </w:r>
    </w:p>
    <w:p w14:paraId="3E732A3E" w14:textId="77777777" w:rsidR="00A30DEA" w:rsidRPr="00A30DEA" w:rsidRDefault="00A30DEA" w:rsidP="00A30DEA">
      <w:r w:rsidRPr="00A30DEA">
        <w:t>Chemical regulation in Malaysia is governed by several key legislations:</w:t>
      </w:r>
    </w:p>
    <w:tbl>
      <w:tblPr>
        <w:tblStyle w:val="TableGrid"/>
        <w:tblW w:w="0" w:type="auto"/>
        <w:tblLook w:val="04A0" w:firstRow="1" w:lastRow="0" w:firstColumn="1" w:lastColumn="0" w:noHBand="0" w:noVBand="1"/>
      </w:tblPr>
      <w:tblGrid>
        <w:gridCol w:w="3958"/>
        <w:gridCol w:w="2247"/>
        <w:gridCol w:w="3145"/>
      </w:tblGrid>
      <w:tr w:rsidR="00A30DEA" w:rsidRPr="00A30DEA" w14:paraId="4A88DE96" w14:textId="77777777" w:rsidTr="00565E0F">
        <w:tc>
          <w:tcPr>
            <w:tcW w:w="0" w:type="auto"/>
            <w:shd w:val="clear" w:color="auto" w:fill="A5C9EB" w:themeFill="text2" w:themeFillTint="40"/>
            <w:hideMark/>
          </w:tcPr>
          <w:p w14:paraId="63287067" w14:textId="77777777" w:rsidR="00A30DEA" w:rsidRPr="00A30DEA" w:rsidRDefault="00A30DEA" w:rsidP="00A30DEA">
            <w:pPr>
              <w:rPr>
                <w:b/>
                <w:bCs/>
              </w:rPr>
            </w:pPr>
            <w:r w:rsidRPr="00A30DEA">
              <w:rPr>
                <w:b/>
                <w:bCs/>
              </w:rPr>
              <w:t>Regulation</w:t>
            </w:r>
          </w:p>
        </w:tc>
        <w:tc>
          <w:tcPr>
            <w:tcW w:w="2247" w:type="dxa"/>
            <w:shd w:val="clear" w:color="auto" w:fill="A5C9EB" w:themeFill="text2" w:themeFillTint="40"/>
            <w:hideMark/>
          </w:tcPr>
          <w:p w14:paraId="216CFE21" w14:textId="77777777" w:rsidR="00A30DEA" w:rsidRPr="00A30DEA" w:rsidRDefault="00A30DEA" w:rsidP="00A30DEA">
            <w:pPr>
              <w:rPr>
                <w:b/>
                <w:bCs/>
              </w:rPr>
            </w:pPr>
            <w:r w:rsidRPr="00A30DEA">
              <w:rPr>
                <w:b/>
                <w:bCs/>
              </w:rPr>
              <w:t>Authority</w:t>
            </w:r>
          </w:p>
        </w:tc>
        <w:tc>
          <w:tcPr>
            <w:tcW w:w="3145" w:type="dxa"/>
            <w:shd w:val="clear" w:color="auto" w:fill="A5C9EB" w:themeFill="text2" w:themeFillTint="40"/>
            <w:hideMark/>
          </w:tcPr>
          <w:p w14:paraId="6D5E023D" w14:textId="77777777" w:rsidR="00A30DEA" w:rsidRPr="00A30DEA" w:rsidRDefault="00A30DEA" w:rsidP="00A30DEA">
            <w:pPr>
              <w:rPr>
                <w:b/>
                <w:bCs/>
              </w:rPr>
            </w:pPr>
            <w:r w:rsidRPr="00A30DEA">
              <w:rPr>
                <w:b/>
                <w:bCs/>
              </w:rPr>
              <w:t>Scope</w:t>
            </w:r>
          </w:p>
        </w:tc>
      </w:tr>
      <w:tr w:rsidR="00A30DEA" w:rsidRPr="00A30DEA" w14:paraId="582A29E0" w14:textId="77777777" w:rsidTr="00565E0F">
        <w:tc>
          <w:tcPr>
            <w:tcW w:w="0" w:type="auto"/>
            <w:hideMark/>
          </w:tcPr>
          <w:p w14:paraId="7FD00737" w14:textId="19C92EEB" w:rsidR="00A30DEA" w:rsidRPr="00A30DEA" w:rsidRDefault="00565E0F" w:rsidP="00A30DEA">
            <w:r w:rsidRPr="00A30DEA">
              <w:t>Environmental</w:t>
            </w:r>
            <w:r w:rsidR="00A30DEA" w:rsidRPr="00A30DEA">
              <w:t xml:space="preserve"> Quality Act (EQA) 1974</w:t>
            </w:r>
          </w:p>
        </w:tc>
        <w:tc>
          <w:tcPr>
            <w:tcW w:w="2247" w:type="dxa"/>
            <w:hideMark/>
          </w:tcPr>
          <w:p w14:paraId="6AB1CA4E" w14:textId="77777777" w:rsidR="00A30DEA" w:rsidRPr="00A30DEA" w:rsidRDefault="00A30DEA" w:rsidP="00A30DEA">
            <w:r w:rsidRPr="00A30DEA">
              <w:t>DOE</w:t>
            </w:r>
          </w:p>
        </w:tc>
        <w:tc>
          <w:tcPr>
            <w:tcW w:w="3145" w:type="dxa"/>
            <w:hideMark/>
          </w:tcPr>
          <w:p w14:paraId="41AAFFF5" w14:textId="77777777" w:rsidR="00A30DEA" w:rsidRPr="00A30DEA" w:rsidRDefault="00A30DEA" w:rsidP="00A30DEA">
            <w:r w:rsidRPr="00A30DEA">
              <w:t>Environmental protection, hazardous waste</w:t>
            </w:r>
          </w:p>
        </w:tc>
      </w:tr>
      <w:tr w:rsidR="00A30DEA" w:rsidRPr="00A30DEA" w14:paraId="4B14A5F7" w14:textId="77777777" w:rsidTr="00565E0F">
        <w:tc>
          <w:tcPr>
            <w:tcW w:w="0" w:type="auto"/>
            <w:hideMark/>
          </w:tcPr>
          <w:p w14:paraId="64956857" w14:textId="77777777" w:rsidR="00A30DEA" w:rsidRPr="00A30DEA" w:rsidRDefault="00A30DEA" w:rsidP="00A30DEA">
            <w:r w:rsidRPr="00A30DEA">
              <w:t>Occupational Safety and Health Act (OSHA) 1994</w:t>
            </w:r>
          </w:p>
        </w:tc>
        <w:tc>
          <w:tcPr>
            <w:tcW w:w="2247" w:type="dxa"/>
            <w:hideMark/>
          </w:tcPr>
          <w:p w14:paraId="52D0B602" w14:textId="77777777" w:rsidR="00A30DEA" w:rsidRPr="00A30DEA" w:rsidRDefault="00A30DEA" w:rsidP="00A30DEA">
            <w:r w:rsidRPr="00A30DEA">
              <w:t>DOSH</w:t>
            </w:r>
          </w:p>
        </w:tc>
        <w:tc>
          <w:tcPr>
            <w:tcW w:w="3145" w:type="dxa"/>
            <w:hideMark/>
          </w:tcPr>
          <w:p w14:paraId="2BE353DA" w14:textId="77777777" w:rsidR="00A30DEA" w:rsidRPr="00A30DEA" w:rsidRDefault="00A30DEA" w:rsidP="00A30DEA">
            <w:r w:rsidRPr="00A30DEA">
              <w:t>Workplace safety and chemical handling</w:t>
            </w:r>
          </w:p>
        </w:tc>
      </w:tr>
      <w:tr w:rsidR="00A30DEA" w:rsidRPr="00A30DEA" w14:paraId="02283C29" w14:textId="77777777" w:rsidTr="00565E0F">
        <w:tc>
          <w:tcPr>
            <w:tcW w:w="0" w:type="auto"/>
            <w:hideMark/>
          </w:tcPr>
          <w:p w14:paraId="722FD16A" w14:textId="77777777" w:rsidR="00A30DEA" w:rsidRPr="00A30DEA" w:rsidRDefault="00A30DEA" w:rsidP="00A30DEA">
            <w:r w:rsidRPr="00A30DEA">
              <w:t>CLASS Regulations 2013</w:t>
            </w:r>
          </w:p>
        </w:tc>
        <w:tc>
          <w:tcPr>
            <w:tcW w:w="2247" w:type="dxa"/>
            <w:hideMark/>
          </w:tcPr>
          <w:p w14:paraId="2F81C3CC" w14:textId="77777777" w:rsidR="00A30DEA" w:rsidRPr="00A30DEA" w:rsidRDefault="00A30DEA" w:rsidP="00A30DEA">
            <w:r w:rsidRPr="00A30DEA">
              <w:t>DOSH</w:t>
            </w:r>
          </w:p>
        </w:tc>
        <w:tc>
          <w:tcPr>
            <w:tcW w:w="3145" w:type="dxa"/>
            <w:hideMark/>
          </w:tcPr>
          <w:p w14:paraId="20413F5B" w14:textId="77777777" w:rsidR="00A30DEA" w:rsidRPr="00A30DEA" w:rsidRDefault="00A30DEA" w:rsidP="00A30DEA">
            <w:r w:rsidRPr="00A30DEA">
              <w:t>GHS classification, labeling &amp; SDS</w:t>
            </w:r>
          </w:p>
        </w:tc>
      </w:tr>
      <w:tr w:rsidR="00A30DEA" w:rsidRPr="00A30DEA" w14:paraId="4B6150C2" w14:textId="77777777" w:rsidTr="00565E0F">
        <w:tc>
          <w:tcPr>
            <w:tcW w:w="0" w:type="auto"/>
            <w:hideMark/>
          </w:tcPr>
          <w:p w14:paraId="5C98A9EA" w14:textId="77777777" w:rsidR="00A30DEA" w:rsidRPr="00A30DEA" w:rsidRDefault="00A30DEA" w:rsidP="00A30DEA">
            <w:r w:rsidRPr="00A30DEA">
              <w:t>Pesticides Act 1974</w:t>
            </w:r>
          </w:p>
        </w:tc>
        <w:tc>
          <w:tcPr>
            <w:tcW w:w="2247" w:type="dxa"/>
            <w:hideMark/>
          </w:tcPr>
          <w:p w14:paraId="67BB589D" w14:textId="77777777" w:rsidR="00A30DEA" w:rsidRPr="00A30DEA" w:rsidRDefault="00A30DEA" w:rsidP="00A30DEA">
            <w:r w:rsidRPr="00A30DEA">
              <w:t>Pesticides Board</w:t>
            </w:r>
          </w:p>
        </w:tc>
        <w:tc>
          <w:tcPr>
            <w:tcW w:w="3145" w:type="dxa"/>
            <w:hideMark/>
          </w:tcPr>
          <w:p w14:paraId="19437161" w14:textId="77777777" w:rsidR="00A30DEA" w:rsidRPr="00A30DEA" w:rsidRDefault="00A30DEA" w:rsidP="00A30DEA">
            <w:r w:rsidRPr="00A30DEA">
              <w:t>Agricultural chemicals</w:t>
            </w:r>
          </w:p>
        </w:tc>
      </w:tr>
      <w:tr w:rsidR="00A30DEA" w:rsidRPr="00A30DEA" w14:paraId="78DC12A7" w14:textId="77777777" w:rsidTr="00565E0F">
        <w:tc>
          <w:tcPr>
            <w:tcW w:w="0" w:type="auto"/>
            <w:hideMark/>
          </w:tcPr>
          <w:p w14:paraId="6F63F6FE" w14:textId="77777777" w:rsidR="00A30DEA" w:rsidRPr="00A30DEA" w:rsidRDefault="00A30DEA" w:rsidP="00A30DEA">
            <w:r w:rsidRPr="00A30DEA">
              <w:t>Poisons Act 1952</w:t>
            </w:r>
          </w:p>
        </w:tc>
        <w:tc>
          <w:tcPr>
            <w:tcW w:w="2247" w:type="dxa"/>
            <w:hideMark/>
          </w:tcPr>
          <w:p w14:paraId="69076A47" w14:textId="77777777" w:rsidR="00A30DEA" w:rsidRPr="00A30DEA" w:rsidRDefault="00A30DEA" w:rsidP="00A30DEA">
            <w:r w:rsidRPr="00A30DEA">
              <w:t>Ministry of Health</w:t>
            </w:r>
          </w:p>
        </w:tc>
        <w:tc>
          <w:tcPr>
            <w:tcW w:w="3145" w:type="dxa"/>
            <w:hideMark/>
          </w:tcPr>
          <w:p w14:paraId="5C85174F" w14:textId="77777777" w:rsidR="00A30DEA" w:rsidRPr="00A30DEA" w:rsidRDefault="00A30DEA" w:rsidP="00A30DEA">
            <w:r w:rsidRPr="00A30DEA">
              <w:t>Toxic and hazardous substances</w:t>
            </w:r>
          </w:p>
        </w:tc>
      </w:tr>
      <w:tr w:rsidR="00A30DEA" w:rsidRPr="00A30DEA" w14:paraId="5ED4964E" w14:textId="77777777" w:rsidTr="00565E0F">
        <w:tc>
          <w:tcPr>
            <w:tcW w:w="0" w:type="auto"/>
            <w:hideMark/>
          </w:tcPr>
          <w:p w14:paraId="2DC49285" w14:textId="77777777" w:rsidR="00A30DEA" w:rsidRPr="00A30DEA" w:rsidRDefault="00A30DEA" w:rsidP="00A30DEA">
            <w:r w:rsidRPr="00A30DEA">
              <w:t>Factories and Machinery Act 1967</w:t>
            </w:r>
          </w:p>
        </w:tc>
        <w:tc>
          <w:tcPr>
            <w:tcW w:w="2247" w:type="dxa"/>
            <w:hideMark/>
          </w:tcPr>
          <w:p w14:paraId="6935C9E9" w14:textId="77777777" w:rsidR="00A30DEA" w:rsidRPr="00A30DEA" w:rsidRDefault="00A30DEA" w:rsidP="00A30DEA">
            <w:r w:rsidRPr="00A30DEA">
              <w:t>DOSH</w:t>
            </w:r>
          </w:p>
        </w:tc>
        <w:tc>
          <w:tcPr>
            <w:tcW w:w="3145" w:type="dxa"/>
            <w:hideMark/>
          </w:tcPr>
          <w:p w14:paraId="4F8FE86E" w14:textId="77777777" w:rsidR="00A30DEA" w:rsidRPr="00A30DEA" w:rsidRDefault="00A30DEA" w:rsidP="00A30DEA">
            <w:r w:rsidRPr="00A30DEA">
              <w:t>Industrial chemical safety</w:t>
            </w:r>
          </w:p>
        </w:tc>
      </w:tr>
      <w:tr w:rsidR="00A30DEA" w:rsidRPr="00A30DEA" w14:paraId="58B27D29" w14:textId="77777777" w:rsidTr="00565E0F">
        <w:tc>
          <w:tcPr>
            <w:tcW w:w="0" w:type="auto"/>
            <w:hideMark/>
          </w:tcPr>
          <w:p w14:paraId="1C972014" w14:textId="77777777" w:rsidR="00A30DEA" w:rsidRPr="00A30DEA" w:rsidRDefault="00A30DEA" w:rsidP="00A30DEA">
            <w:r w:rsidRPr="00A30DEA">
              <w:t>Chemical Weapons Convention Act 2005</w:t>
            </w:r>
          </w:p>
        </w:tc>
        <w:tc>
          <w:tcPr>
            <w:tcW w:w="2247" w:type="dxa"/>
            <w:hideMark/>
          </w:tcPr>
          <w:p w14:paraId="6CB66EC3" w14:textId="77777777" w:rsidR="00A30DEA" w:rsidRPr="00A30DEA" w:rsidRDefault="00A30DEA" w:rsidP="00A30DEA">
            <w:r w:rsidRPr="00A30DEA">
              <w:t>National Authority</w:t>
            </w:r>
          </w:p>
        </w:tc>
        <w:tc>
          <w:tcPr>
            <w:tcW w:w="3145" w:type="dxa"/>
            <w:hideMark/>
          </w:tcPr>
          <w:p w14:paraId="2DC42454" w14:textId="77777777" w:rsidR="00A30DEA" w:rsidRPr="00A30DEA" w:rsidRDefault="00A30DEA" w:rsidP="00A30DEA">
            <w:r w:rsidRPr="00A30DEA">
              <w:t>Controlled substances</w:t>
            </w:r>
          </w:p>
        </w:tc>
      </w:tr>
    </w:tbl>
    <w:p w14:paraId="7232F1D1" w14:textId="77777777" w:rsidR="00A30DEA" w:rsidRPr="00A30DEA" w:rsidRDefault="00A30DEA" w:rsidP="00565E0F">
      <w:pPr>
        <w:pStyle w:val="Heading2"/>
      </w:pPr>
      <w:r w:rsidRPr="00A30DEA">
        <w:lastRenderedPageBreak/>
        <w:t>Who Needs Chemical Registration in Malaysia?</w:t>
      </w:r>
    </w:p>
    <w:p w14:paraId="2773D5EA" w14:textId="77777777" w:rsidR="00A30DEA" w:rsidRPr="00A30DEA" w:rsidRDefault="00A30DEA" w:rsidP="00A30DEA">
      <w:r w:rsidRPr="00A30DEA">
        <w:t xml:space="preserve">The following entities must comply with </w:t>
      </w:r>
      <w:r w:rsidRPr="00A30DEA">
        <w:rPr>
          <w:b/>
          <w:bCs/>
        </w:rPr>
        <w:t>chemical registration and notification requirements</w:t>
      </w:r>
      <w:r w:rsidRPr="00A30DEA">
        <w:t>:</w:t>
      </w:r>
    </w:p>
    <w:p w14:paraId="21E23692" w14:textId="77777777" w:rsidR="00A30DEA" w:rsidRPr="00A30DEA" w:rsidRDefault="00A30DEA" w:rsidP="00A30DEA">
      <w:pPr>
        <w:numPr>
          <w:ilvl w:val="0"/>
          <w:numId w:val="1"/>
        </w:numPr>
      </w:pPr>
      <w:r w:rsidRPr="00A30DEA">
        <w:rPr>
          <w:b/>
          <w:bCs/>
        </w:rPr>
        <w:t>Manufacturers</w:t>
      </w:r>
      <w:r w:rsidRPr="00A30DEA">
        <w:t xml:space="preserve"> producing chemicals locally </w:t>
      </w:r>
    </w:p>
    <w:p w14:paraId="7E543A3B" w14:textId="77777777" w:rsidR="00A30DEA" w:rsidRPr="00A30DEA" w:rsidRDefault="00A30DEA" w:rsidP="00A30DEA">
      <w:pPr>
        <w:numPr>
          <w:ilvl w:val="0"/>
          <w:numId w:val="1"/>
        </w:numPr>
      </w:pPr>
      <w:r w:rsidRPr="00A30DEA">
        <w:rPr>
          <w:b/>
          <w:bCs/>
        </w:rPr>
        <w:t>Importers</w:t>
      </w:r>
      <w:r w:rsidRPr="00A30DEA">
        <w:t xml:space="preserve"> bringing chemicals into Malaysia </w:t>
      </w:r>
    </w:p>
    <w:p w14:paraId="004AD64F" w14:textId="77777777" w:rsidR="00A30DEA" w:rsidRPr="00A30DEA" w:rsidRDefault="00A30DEA" w:rsidP="00A30DEA">
      <w:pPr>
        <w:numPr>
          <w:ilvl w:val="0"/>
          <w:numId w:val="1"/>
        </w:numPr>
      </w:pPr>
      <w:r w:rsidRPr="00A30DEA">
        <w:rPr>
          <w:b/>
          <w:bCs/>
        </w:rPr>
        <w:t>Distributors and suppliers</w:t>
      </w:r>
      <w:r w:rsidRPr="00A30DEA">
        <w:t xml:space="preserve"> handling hazardous substances </w:t>
      </w:r>
    </w:p>
    <w:p w14:paraId="520C4554" w14:textId="77777777" w:rsidR="00A30DEA" w:rsidRPr="00A30DEA" w:rsidRDefault="00A30DEA" w:rsidP="00A30DEA">
      <w:pPr>
        <w:numPr>
          <w:ilvl w:val="0"/>
          <w:numId w:val="1"/>
        </w:numPr>
      </w:pPr>
      <w:r w:rsidRPr="00A30DEA">
        <w:rPr>
          <w:b/>
          <w:bCs/>
        </w:rPr>
        <w:t>Downstream users</w:t>
      </w:r>
      <w:r w:rsidRPr="00A30DEA">
        <w:t xml:space="preserve"> responsible for workplace safety </w:t>
      </w:r>
    </w:p>
    <w:p w14:paraId="2EE1C7C0" w14:textId="77777777" w:rsidR="00A30DEA" w:rsidRPr="00A30DEA" w:rsidRDefault="00A30DEA" w:rsidP="00565E0F">
      <w:pPr>
        <w:pStyle w:val="Heading2"/>
      </w:pPr>
      <w:r w:rsidRPr="00A30DEA">
        <w:t>Chemical Registration Process in Malaysia</w:t>
      </w:r>
    </w:p>
    <w:p w14:paraId="26B8CBF2" w14:textId="77777777" w:rsidR="00A30DEA" w:rsidRPr="00A30DEA" w:rsidRDefault="00A30DEA" w:rsidP="00A30DEA">
      <w:pPr>
        <w:rPr>
          <w:b/>
          <w:bCs/>
        </w:rPr>
      </w:pPr>
      <w:r w:rsidRPr="00A30DEA">
        <w:rPr>
          <w:b/>
          <w:bCs/>
        </w:rPr>
        <w:t xml:space="preserve">1. </w:t>
      </w:r>
      <w:proofErr w:type="spellStart"/>
      <w:r w:rsidRPr="00A30DEA">
        <w:rPr>
          <w:b/>
          <w:bCs/>
        </w:rPr>
        <w:t>MyEHS</w:t>
      </w:r>
      <w:proofErr w:type="spellEnd"/>
      <w:r w:rsidRPr="00A30DEA">
        <w:rPr>
          <w:b/>
          <w:bCs/>
        </w:rPr>
        <w:t xml:space="preserve"> Notification and Registration (DOSH)</w:t>
      </w:r>
    </w:p>
    <w:p w14:paraId="1A74C96D" w14:textId="77777777" w:rsidR="00A30DEA" w:rsidRPr="00A30DEA" w:rsidRDefault="00A30DEA" w:rsidP="00A30DEA">
      <w:r w:rsidRPr="00A30DEA">
        <w:t xml:space="preserve">Malaysia’s </w:t>
      </w:r>
      <w:proofErr w:type="spellStart"/>
      <w:r w:rsidRPr="00A30DEA">
        <w:rPr>
          <w:b/>
          <w:bCs/>
        </w:rPr>
        <w:t>MyEHS</w:t>
      </w:r>
      <w:proofErr w:type="spellEnd"/>
      <w:r w:rsidRPr="00A30DEA">
        <w:rPr>
          <w:b/>
          <w:bCs/>
        </w:rPr>
        <w:t xml:space="preserve"> (Electronic Notification and Registration System)</w:t>
      </w:r>
      <w:r w:rsidRPr="00A30DEA">
        <w:t xml:space="preserve"> is the primary platform for hazardous chemical compliance.</w:t>
      </w:r>
    </w:p>
    <w:p w14:paraId="0D600B28" w14:textId="77777777" w:rsidR="00A30DEA" w:rsidRPr="00A30DEA" w:rsidRDefault="00A30DEA" w:rsidP="00A30DEA">
      <w:pPr>
        <w:rPr>
          <w:b/>
          <w:bCs/>
        </w:rPr>
      </w:pPr>
      <w:r w:rsidRPr="00A30DEA">
        <w:rPr>
          <w:b/>
          <w:bCs/>
        </w:rPr>
        <w:t>Step-by-Step Process</w:t>
      </w:r>
    </w:p>
    <w:tbl>
      <w:tblPr>
        <w:tblStyle w:val="TableGrid"/>
        <w:tblW w:w="0" w:type="auto"/>
        <w:tblLook w:val="04A0" w:firstRow="1" w:lastRow="0" w:firstColumn="1" w:lastColumn="0" w:noHBand="0" w:noVBand="1"/>
      </w:tblPr>
      <w:tblGrid>
        <w:gridCol w:w="867"/>
        <w:gridCol w:w="2376"/>
        <w:gridCol w:w="5504"/>
      </w:tblGrid>
      <w:tr w:rsidR="00A30DEA" w:rsidRPr="00A30DEA" w14:paraId="42C8A1D2" w14:textId="77777777" w:rsidTr="00565E0F">
        <w:tc>
          <w:tcPr>
            <w:tcW w:w="0" w:type="auto"/>
            <w:shd w:val="clear" w:color="auto" w:fill="A5C9EB" w:themeFill="text2" w:themeFillTint="40"/>
            <w:hideMark/>
          </w:tcPr>
          <w:p w14:paraId="3898A59E" w14:textId="77777777" w:rsidR="00A30DEA" w:rsidRPr="00A30DEA" w:rsidRDefault="00A30DEA" w:rsidP="00A30DEA">
            <w:pPr>
              <w:rPr>
                <w:b/>
                <w:bCs/>
              </w:rPr>
            </w:pPr>
            <w:r w:rsidRPr="00A30DEA">
              <w:rPr>
                <w:b/>
                <w:bCs/>
              </w:rPr>
              <w:t>Step</w:t>
            </w:r>
          </w:p>
        </w:tc>
        <w:tc>
          <w:tcPr>
            <w:tcW w:w="0" w:type="auto"/>
            <w:shd w:val="clear" w:color="auto" w:fill="A5C9EB" w:themeFill="text2" w:themeFillTint="40"/>
            <w:hideMark/>
          </w:tcPr>
          <w:p w14:paraId="53167F0E" w14:textId="77777777" w:rsidR="00A30DEA" w:rsidRPr="00A30DEA" w:rsidRDefault="00A30DEA" w:rsidP="00A30DEA">
            <w:pPr>
              <w:rPr>
                <w:b/>
                <w:bCs/>
              </w:rPr>
            </w:pPr>
            <w:r w:rsidRPr="00A30DEA">
              <w:rPr>
                <w:b/>
                <w:bCs/>
              </w:rPr>
              <w:t>Requirement</w:t>
            </w:r>
          </w:p>
        </w:tc>
        <w:tc>
          <w:tcPr>
            <w:tcW w:w="0" w:type="auto"/>
            <w:shd w:val="clear" w:color="auto" w:fill="A5C9EB" w:themeFill="text2" w:themeFillTint="40"/>
            <w:hideMark/>
          </w:tcPr>
          <w:p w14:paraId="21152211" w14:textId="77777777" w:rsidR="00A30DEA" w:rsidRPr="00A30DEA" w:rsidRDefault="00A30DEA" w:rsidP="00A30DEA">
            <w:pPr>
              <w:rPr>
                <w:b/>
                <w:bCs/>
              </w:rPr>
            </w:pPr>
            <w:r w:rsidRPr="00A30DEA">
              <w:rPr>
                <w:b/>
                <w:bCs/>
              </w:rPr>
              <w:t>Description</w:t>
            </w:r>
          </w:p>
        </w:tc>
      </w:tr>
      <w:tr w:rsidR="00A30DEA" w:rsidRPr="00A30DEA" w14:paraId="5EC7A442" w14:textId="77777777" w:rsidTr="00565E0F">
        <w:tc>
          <w:tcPr>
            <w:tcW w:w="0" w:type="auto"/>
            <w:hideMark/>
          </w:tcPr>
          <w:p w14:paraId="25F4BF3F" w14:textId="77777777" w:rsidR="00A30DEA" w:rsidRPr="00A30DEA" w:rsidRDefault="00A30DEA" w:rsidP="00A30DEA">
            <w:r w:rsidRPr="00A30DEA">
              <w:t>Step 1</w:t>
            </w:r>
          </w:p>
        </w:tc>
        <w:tc>
          <w:tcPr>
            <w:tcW w:w="0" w:type="auto"/>
            <w:hideMark/>
          </w:tcPr>
          <w:p w14:paraId="39599214" w14:textId="77777777" w:rsidR="00A30DEA" w:rsidRPr="00A30DEA" w:rsidRDefault="00A30DEA" w:rsidP="00A30DEA">
            <w:r w:rsidRPr="00A30DEA">
              <w:t>Hazard Identification</w:t>
            </w:r>
          </w:p>
        </w:tc>
        <w:tc>
          <w:tcPr>
            <w:tcW w:w="0" w:type="auto"/>
            <w:hideMark/>
          </w:tcPr>
          <w:p w14:paraId="3C45D9F7" w14:textId="77777777" w:rsidR="00A30DEA" w:rsidRPr="00A30DEA" w:rsidRDefault="00A30DEA" w:rsidP="00A30DEA">
            <w:r w:rsidRPr="00A30DEA">
              <w:t>Classify chemicals under GHS criteria</w:t>
            </w:r>
          </w:p>
        </w:tc>
      </w:tr>
      <w:tr w:rsidR="00A30DEA" w:rsidRPr="00A30DEA" w14:paraId="3375267E" w14:textId="77777777" w:rsidTr="00565E0F">
        <w:tc>
          <w:tcPr>
            <w:tcW w:w="0" w:type="auto"/>
            <w:hideMark/>
          </w:tcPr>
          <w:p w14:paraId="2BF5556A" w14:textId="77777777" w:rsidR="00A30DEA" w:rsidRPr="00A30DEA" w:rsidRDefault="00A30DEA" w:rsidP="00A30DEA">
            <w:r w:rsidRPr="00A30DEA">
              <w:t>Step 2</w:t>
            </w:r>
          </w:p>
        </w:tc>
        <w:tc>
          <w:tcPr>
            <w:tcW w:w="0" w:type="auto"/>
            <w:hideMark/>
          </w:tcPr>
          <w:p w14:paraId="7DDA8A63" w14:textId="77777777" w:rsidR="00A30DEA" w:rsidRPr="00A30DEA" w:rsidRDefault="00A30DEA" w:rsidP="00A30DEA">
            <w:r w:rsidRPr="00A30DEA">
              <w:t>Notification</w:t>
            </w:r>
          </w:p>
        </w:tc>
        <w:tc>
          <w:tcPr>
            <w:tcW w:w="0" w:type="auto"/>
            <w:hideMark/>
          </w:tcPr>
          <w:p w14:paraId="43FBF1B9" w14:textId="77777777" w:rsidR="00A30DEA" w:rsidRPr="00A30DEA" w:rsidRDefault="00A30DEA" w:rsidP="00A30DEA">
            <w:r w:rsidRPr="00A30DEA">
              <w:t>Submit chemical details to DOSH</w:t>
            </w:r>
          </w:p>
        </w:tc>
      </w:tr>
      <w:tr w:rsidR="00A30DEA" w:rsidRPr="00A30DEA" w14:paraId="2460A63B" w14:textId="77777777" w:rsidTr="00565E0F">
        <w:tc>
          <w:tcPr>
            <w:tcW w:w="0" w:type="auto"/>
            <w:hideMark/>
          </w:tcPr>
          <w:p w14:paraId="305272E9" w14:textId="77777777" w:rsidR="00A30DEA" w:rsidRPr="00A30DEA" w:rsidRDefault="00A30DEA" w:rsidP="00A30DEA">
            <w:r w:rsidRPr="00A30DEA">
              <w:t>Step 3</w:t>
            </w:r>
          </w:p>
        </w:tc>
        <w:tc>
          <w:tcPr>
            <w:tcW w:w="0" w:type="auto"/>
            <w:hideMark/>
          </w:tcPr>
          <w:p w14:paraId="660F24E4" w14:textId="77777777" w:rsidR="00A30DEA" w:rsidRPr="00A30DEA" w:rsidRDefault="00A30DEA" w:rsidP="00A30DEA">
            <w:r w:rsidRPr="00A30DEA">
              <w:t>Registration</w:t>
            </w:r>
          </w:p>
        </w:tc>
        <w:tc>
          <w:tcPr>
            <w:tcW w:w="0" w:type="auto"/>
            <w:hideMark/>
          </w:tcPr>
          <w:p w14:paraId="6E072D45" w14:textId="77777777" w:rsidR="00A30DEA" w:rsidRPr="00A30DEA" w:rsidRDefault="00A30DEA" w:rsidP="00A30DEA">
            <w:r w:rsidRPr="00A30DEA">
              <w:t>Required for certain hazardous substances</w:t>
            </w:r>
          </w:p>
        </w:tc>
      </w:tr>
      <w:tr w:rsidR="00A30DEA" w:rsidRPr="00A30DEA" w14:paraId="686B8EDC" w14:textId="77777777" w:rsidTr="00565E0F">
        <w:tc>
          <w:tcPr>
            <w:tcW w:w="0" w:type="auto"/>
            <w:hideMark/>
          </w:tcPr>
          <w:p w14:paraId="2AD5EA25" w14:textId="77777777" w:rsidR="00A30DEA" w:rsidRPr="00A30DEA" w:rsidRDefault="00A30DEA" w:rsidP="00A30DEA">
            <w:r w:rsidRPr="00A30DEA">
              <w:t>Step 4</w:t>
            </w:r>
          </w:p>
        </w:tc>
        <w:tc>
          <w:tcPr>
            <w:tcW w:w="0" w:type="auto"/>
            <w:hideMark/>
          </w:tcPr>
          <w:p w14:paraId="6B845692" w14:textId="77777777" w:rsidR="00A30DEA" w:rsidRPr="00A30DEA" w:rsidRDefault="00A30DEA" w:rsidP="00A30DEA">
            <w:r w:rsidRPr="00A30DEA">
              <w:t>SDS Submission</w:t>
            </w:r>
          </w:p>
        </w:tc>
        <w:tc>
          <w:tcPr>
            <w:tcW w:w="0" w:type="auto"/>
            <w:hideMark/>
          </w:tcPr>
          <w:p w14:paraId="4EFA03AB" w14:textId="77777777" w:rsidR="00A30DEA" w:rsidRPr="00A30DEA" w:rsidRDefault="00A30DEA" w:rsidP="00A30DEA">
            <w:r w:rsidRPr="00A30DEA">
              <w:t>Provide compliant SDS (Bahasa Malaysia &amp; English)</w:t>
            </w:r>
          </w:p>
        </w:tc>
      </w:tr>
    </w:tbl>
    <w:p w14:paraId="22256716" w14:textId="77777777" w:rsidR="00A30DEA" w:rsidRPr="00A30DEA" w:rsidRDefault="00A30DEA" w:rsidP="00565E0F">
      <w:pPr>
        <w:spacing w:before="240"/>
        <w:rPr>
          <w:b/>
          <w:bCs/>
        </w:rPr>
      </w:pPr>
      <w:r w:rsidRPr="00A30DEA">
        <w:rPr>
          <w:b/>
          <w:bCs/>
        </w:rPr>
        <w:t>2. Compliance with CLASS Regulations 2013</w:t>
      </w:r>
    </w:p>
    <w:p w14:paraId="0FF07ABB" w14:textId="77777777" w:rsidR="00A30DEA" w:rsidRPr="00A30DEA" w:rsidRDefault="00A30DEA" w:rsidP="00A30DEA">
      <w:r w:rsidRPr="00A30DEA">
        <w:t xml:space="preserve">The </w:t>
      </w:r>
      <w:r w:rsidRPr="00A30DEA">
        <w:rPr>
          <w:b/>
          <w:bCs/>
        </w:rPr>
        <w:t>CLASS Regulations</w:t>
      </w:r>
      <w:r w:rsidRPr="00A30DEA">
        <w:t xml:space="preserve"> align Malaysia with the </w:t>
      </w:r>
      <w:r w:rsidRPr="00A30DEA">
        <w:rPr>
          <w:b/>
          <w:bCs/>
        </w:rPr>
        <w:t>Globally Harmonized System (GHS)</w:t>
      </w:r>
      <w:r w:rsidRPr="00A30DEA">
        <w:t>.</w:t>
      </w:r>
    </w:p>
    <w:p w14:paraId="17A11EB5" w14:textId="77777777" w:rsidR="00A30DEA" w:rsidRPr="00A30DEA" w:rsidRDefault="00A30DEA" w:rsidP="00A30DEA">
      <w:pPr>
        <w:rPr>
          <w:b/>
          <w:bCs/>
        </w:rPr>
      </w:pPr>
      <w:r w:rsidRPr="00A30DEA">
        <w:rPr>
          <w:b/>
          <w:bCs/>
        </w:rPr>
        <w:t>Key Requirements</w:t>
      </w:r>
    </w:p>
    <w:p w14:paraId="1B23BB84" w14:textId="77777777" w:rsidR="00A30DEA" w:rsidRPr="00A30DEA" w:rsidRDefault="00A30DEA" w:rsidP="00A30DEA">
      <w:pPr>
        <w:numPr>
          <w:ilvl w:val="0"/>
          <w:numId w:val="2"/>
        </w:numPr>
      </w:pPr>
      <w:r w:rsidRPr="00A30DEA">
        <w:t xml:space="preserve">Hazard classification based on </w:t>
      </w:r>
      <w:r w:rsidRPr="00A30DEA">
        <w:rPr>
          <w:b/>
          <w:bCs/>
        </w:rPr>
        <w:t>GHS criteria</w:t>
      </w:r>
      <w:r w:rsidRPr="00A30DEA">
        <w:t xml:space="preserve"> </w:t>
      </w:r>
    </w:p>
    <w:p w14:paraId="44DD8A29" w14:textId="77777777" w:rsidR="00A30DEA" w:rsidRPr="00A30DEA" w:rsidRDefault="00A30DEA" w:rsidP="00A30DEA">
      <w:pPr>
        <w:numPr>
          <w:ilvl w:val="0"/>
          <w:numId w:val="2"/>
        </w:numPr>
      </w:pPr>
      <w:r w:rsidRPr="00A30DEA">
        <w:t xml:space="preserve">Preparation of </w:t>
      </w:r>
      <w:r w:rsidRPr="00A30DEA">
        <w:rPr>
          <w:b/>
          <w:bCs/>
        </w:rPr>
        <w:t>Safety Data Sheets (SDS)</w:t>
      </w:r>
      <w:r w:rsidRPr="00A30DEA">
        <w:t xml:space="preserve"> </w:t>
      </w:r>
    </w:p>
    <w:p w14:paraId="020A28DE" w14:textId="77777777" w:rsidR="00A30DEA" w:rsidRPr="00A30DEA" w:rsidRDefault="00A30DEA" w:rsidP="00A30DEA">
      <w:pPr>
        <w:numPr>
          <w:ilvl w:val="0"/>
          <w:numId w:val="2"/>
        </w:numPr>
      </w:pPr>
      <w:r w:rsidRPr="00A30DEA">
        <w:t xml:space="preserve">Proper </w:t>
      </w:r>
      <w:r w:rsidRPr="00A30DEA">
        <w:rPr>
          <w:b/>
          <w:bCs/>
        </w:rPr>
        <w:t>labeling with hazard pictograms and statements</w:t>
      </w:r>
      <w:r w:rsidRPr="00A30DEA">
        <w:t xml:space="preserve"> </w:t>
      </w:r>
    </w:p>
    <w:p w14:paraId="5ACE7FE6" w14:textId="77777777" w:rsidR="00A30DEA" w:rsidRPr="00A30DEA" w:rsidRDefault="00A30DEA" w:rsidP="00A30DEA">
      <w:pPr>
        <w:numPr>
          <w:ilvl w:val="0"/>
          <w:numId w:val="2"/>
        </w:numPr>
      </w:pPr>
      <w:r w:rsidRPr="00A30DEA">
        <w:t xml:space="preserve">Worker training on </w:t>
      </w:r>
      <w:r w:rsidRPr="00A30DEA">
        <w:rPr>
          <w:b/>
          <w:bCs/>
        </w:rPr>
        <w:t>chemical safety and handling</w:t>
      </w:r>
      <w:r w:rsidRPr="00A30DEA">
        <w:t xml:space="preserve"> </w:t>
      </w:r>
    </w:p>
    <w:p w14:paraId="039B9F55" w14:textId="77777777" w:rsidR="00A30DEA" w:rsidRPr="00A30DEA" w:rsidRDefault="00A30DEA" w:rsidP="00A30DEA">
      <w:pPr>
        <w:rPr>
          <w:b/>
          <w:bCs/>
        </w:rPr>
      </w:pPr>
      <w:r w:rsidRPr="00A30DEA">
        <w:rPr>
          <w:b/>
          <w:bCs/>
        </w:rPr>
        <w:t>3. Licensing and Permits for Controlled Chemicals</w:t>
      </w:r>
    </w:p>
    <w:p w14:paraId="043C43EB" w14:textId="77777777" w:rsidR="00A30DEA" w:rsidRPr="00A30DEA" w:rsidRDefault="00A30DEA" w:rsidP="00A30DEA">
      <w:r w:rsidRPr="00A30DEA">
        <w:t xml:space="preserve">Certain chemicals require </w:t>
      </w:r>
      <w:r w:rsidRPr="00A30DEA">
        <w:rPr>
          <w:b/>
          <w:bCs/>
        </w:rPr>
        <w:t>additional approvals</w:t>
      </w:r>
      <w:r w:rsidRPr="00A30DEA">
        <w:t>:</w:t>
      </w:r>
    </w:p>
    <w:tbl>
      <w:tblPr>
        <w:tblStyle w:val="TableGrid"/>
        <w:tblW w:w="0" w:type="auto"/>
        <w:tblLook w:val="04A0" w:firstRow="1" w:lastRow="0" w:firstColumn="1" w:lastColumn="0" w:noHBand="0" w:noVBand="1"/>
      </w:tblPr>
      <w:tblGrid>
        <w:gridCol w:w="2760"/>
        <w:gridCol w:w="4273"/>
      </w:tblGrid>
      <w:tr w:rsidR="00A30DEA" w:rsidRPr="00A30DEA" w14:paraId="645B9130" w14:textId="77777777" w:rsidTr="00565E0F">
        <w:tc>
          <w:tcPr>
            <w:tcW w:w="0" w:type="auto"/>
            <w:shd w:val="clear" w:color="auto" w:fill="A5C9EB" w:themeFill="text2" w:themeFillTint="40"/>
            <w:hideMark/>
          </w:tcPr>
          <w:p w14:paraId="17063F27" w14:textId="77777777" w:rsidR="00A30DEA" w:rsidRPr="00A30DEA" w:rsidRDefault="00A30DEA" w:rsidP="00A30DEA">
            <w:pPr>
              <w:rPr>
                <w:b/>
                <w:bCs/>
              </w:rPr>
            </w:pPr>
            <w:r w:rsidRPr="00A30DEA">
              <w:rPr>
                <w:b/>
                <w:bCs/>
              </w:rPr>
              <w:t>Authority</w:t>
            </w:r>
          </w:p>
        </w:tc>
        <w:tc>
          <w:tcPr>
            <w:tcW w:w="0" w:type="auto"/>
            <w:shd w:val="clear" w:color="auto" w:fill="A5C9EB" w:themeFill="text2" w:themeFillTint="40"/>
            <w:hideMark/>
          </w:tcPr>
          <w:p w14:paraId="65B17828" w14:textId="77777777" w:rsidR="00A30DEA" w:rsidRPr="00A30DEA" w:rsidRDefault="00A30DEA" w:rsidP="00A30DEA">
            <w:pPr>
              <w:rPr>
                <w:b/>
                <w:bCs/>
              </w:rPr>
            </w:pPr>
            <w:r w:rsidRPr="00A30DEA">
              <w:rPr>
                <w:b/>
                <w:bCs/>
              </w:rPr>
              <w:t>Requirement</w:t>
            </w:r>
          </w:p>
        </w:tc>
      </w:tr>
      <w:tr w:rsidR="00A30DEA" w:rsidRPr="00A30DEA" w14:paraId="729EDE44" w14:textId="77777777" w:rsidTr="00565E0F">
        <w:tc>
          <w:tcPr>
            <w:tcW w:w="0" w:type="auto"/>
            <w:hideMark/>
          </w:tcPr>
          <w:p w14:paraId="27DDC58A" w14:textId="77777777" w:rsidR="00A30DEA" w:rsidRPr="00A30DEA" w:rsidRDefault="00A30DEA" w:rsidP="00A30DEA">
            <w:r w:rsidRPr="00A30DEA">
              <w:lastRenderedPageBreak/>
              <w:t>Ministry of Health (MOH)</w:t>
            </w:r>
          </w:p>
        </w:tc>
        <w:tc>
          <w:tcPr>
            <w:tcW w:w="0" w:type="auto"/>
            <w:hideMark/>
          </w:tcPr>
          <w:p w14:paraId="01F01694" w14:textId="77777777" w:rsidR="00A30DEA" w:rsidRPr="00A30DEA" w:rsidRDefault="00A30DEA" w:rsidP="00A30DEA">
            <w:r w:rsidRPr="00A30DEA">
              <w:t>Toxic and pharmaceutical chemicals</w:t>
            </w:r>
          </w:p>
        </w:tc>
      </w:tr>
      <w:tr w:rsidR="00A30DEA" w:rsidRPr="00A30DEA" w14:paraId="725C6D78" w14:textId="77777777" w:rsidTr="00565E0F">
        <w:tc>
          <w:tcPr>
            <w:tcW w:w="0" w:type="auto"/>
            <w:hideMark/>
          </w:tcPr>
          <w:p w14:paraId="53C1C0E1" w14:textId="77777777" w:rsidR="00A30DEA" w:rsidRPr="00A30DEA" w:rsidRDefault="00A30DEA" w:rsidP="00A30DEA">
            <w:r w:rsidRPr="00A30DEA">
              <w:t>DOE</w:t>
            </w:r>
          </w:p>
        </w:tc>
        <w:tc>
          <w:tcPr>
            <w:tcW w:w="0" w:type="auto"/>
            <w:hideMark/>
          </w:tcPr>
          <w:p w14:paraId="4B1150FA" w14:textId="77777777" w:rsidR="00A30DEA" w:rsidRPr="00A30DEA" w:rsidRDefault="00A30DEA" w:rsidP="00A30DEA">
            <w:r w:rsidRPr="00A30DEA">
              <w:t>Environmentally hazardous substances</w:t>
            </w:r>
          </w:p>
        </w:tc>
      </w:tr>
      <w:tr w:rsidR="00A30DEA" w:rsidRPr="00A30DEA" w14:paraId="08C69973" w14:textId="77777777" w:rsidTr="00565E0F">
        <w:tc>
          <w:tcPr>
            <w:tcW w:w="0" w:type="auto"/>
            <w:hideMark/>
          </w:tcPr>
          <w:p w14:paraId="5EE08EF3" w14:textId="77777777" w:rsidR="00A30DEA" w:rsidRPr="00A30DEA" w:rsidRDefault="00A30DEA" w:rsidP="00A30DEA">
            <w:r w:rsidRPr="00A30DEA">
              <w:t>Pesticides Board</w:t>
            </w:r>
          </w:p>
        </w:tc>
        <w:tc>
          <w:tcPr>
            <w:tcW w:w="0" w:type="auto"/>
            <w:hideMark/>
          </w:tcPr>
          <w:p w14:paraId="67D8F1F1" w14:textId="77777777" w:rsidR="00A30DEA" w:rsidRPr="00A30DEA" w:rsidRDefault="00A30DEA" w:rsidP="00A30DEA">
            <w:r w:rsidRPr="00A30DEA">
              <w:t>Agricultural chemicals and biocides</w:t>
            </w:r>
          </w:p>
        </w:tc>
      </w:tr>
    </w:tbl>
    <w:p w14:paraId="0F568EAB" w14:textId="77777777" w:rsidR="00A30DEA" w:rsidRPr="00A30DEA" w:rsidRDefault="00A30DEA" w:rsidP="00565E0F">
      <w:pPr>
        <w:pStyle w:val="Heading2"/>
      </w:pPr>
      <w:r w:rsidRPr="00A30DEA">
        <w:t>Safety Data Sheet (SDS) and Labeling Requirements</w:t>
      </w:r>
    </w:p>
    <w:p w14:paraId="06ABFA89" w14:textId="77777777" w:rsidR="00A30DEA" w:rsidRPr="00A30DEA" w:rsidRDefault="00A30DEA" w:rsidP="00A30DEA">
      <w:r w:rsidRPr="00A30DEA">
        <w:t>SDS and labeling are critical for compliance:</w:t>
      </w:r>
    </w:p>
    <w:p w14:paraId="0EB70708" w14:textId="77777777" w:rsidR="00A30DEA" w:rsidRPr="00A30DEA" w:rsidRDefault="00A30DEA" w:rsidP="00A30DEA">
      <w:pPr>
        <w:rPr>
          <w:b/>
          <w:bCs/>
        </w:rPr>
      </w:pPr>
      <w:r w:rsidRPr="00A30DEA">
        <w:rPr>
          <w:b/>
          <w:bCs/>
        </w:rPr>
        <w:t>SDS Requirements</w:t>
      </w:r>
    </w:p>
    <w:p w14:paraId="1E95664C" w14:textId="77777777" w:rsidR="00A30DEA" w:rsidRPr="00A30DEA" w:rsidRDefault="00A30DEA" w:rsidP="00A30DEA">
      <w:pPr>
        <w:numPr>
          <w:ilvl w:val="0"/>
          <w:numId w:val="3"/>
        </w:numPr>
      </w:pPr>
      <w:r w:rsidRPr="00A30DEA">
        <w:t xml:space="preserve">Must follow </w:t>
      </w:r>
      <w:r w:rsidRPr="00A30DEA">
        <w:rPr>
          <w:b/>
          <w:bCs/>
        </w:rPr>
        <w:t>GHS format (16 sections)</w:t>
      </w:r>
      <w:r w:rsidRPr="00A30DEA">
        <w:t xml:space="preserve"> </w:t>
      </w:r>
    </w:p>
    <w:p w14:paraId="64822169" w14:textId="77777777" w:rsidR="00A30DEA" w:rsidRPr="00A30DEA" w:rsidRDefault="00A30DEA" w:rsidP="00A30DEA">
      <w:pPr>
        <w:numPr>
          <w:ilvl w:val="0"/>
          <w:numId w:val="3"/>
        </w:numPr>
      </w:pPr>
      <w:r w:rsidRPr="00A30DEA">
        <w:t xml:space="preserve">Prepared in </w:t>
      </w:r>
      <w:r w:rsidRPr="00A30DEA">
        <w:rPr>
          <w:b/>
          <w:bCs/>
        </w:rPr>
        <w:t>Bahasa Malaysia and English</w:t>
      </w:r>
      <w:r w:rsidRPr="00A30DEA">
        <w:t xml:space="preserve"> </w:t>
      </w:r>
    </w:p>
    <w:p w14:paraId="6F48B500" w14:textId="77777777" w:rsidR="00A30DEA" w:rsidRPr="00A30DEA" w:rsidRDefault="00A30DEA" w:rsidP="00A30DEA">
      <w:pPr>
        <w:numPr>
          <w:ilvl w:val="0"/>
          <w:numId w:val="3"/>
        </w:numPr>
      </w:pPr>
      <w:r w:rsidRPr="00A30DEA">
        <w:t xml:space="preserve">Include toxicological and ecological data </w:t>
      </w:r>
    </w:p>
    <w:p w14:paraId="5354A481" w14:textId="77777777" w:rsidR="00A30DEA" w:rsidRPr="00A30DEA" w:rsidRDefault="00A30DEA" w:rsidP="00A30DEA">
      <w:pPr>
        <w:rPr>
          <w:b/>
          <w:bCs/>
        </w:rPr>
      </w:pPr>
      <w:r w:rsidRPr="00A30DEA">
        <w:rPr>
          <w:b/>
          <w:bCs/>
        </w:rPr>
        <w:t>Labeling Requirements</w:t>
      </w:r>
    </w:p>
    <w:p w14:paraId="7137CB17" w14:textId="77777777" w:rsidR="00A30DEA" w:rsidRPr="00A30DEA" w:rsidRDefault="00A30DEA" w:rsidP="00A30DEA">
      <w:pPr>
        <w:numPr>
          <w:ilvl w:val="0"/>
          <w:numId w:val="4"/>
        </w:numPr>
      </w:pPr>
      <w:r w:rsidRPr="00A30DEA">
        <w:t xml:space="preserve">Product identifiers </w:t>
      </w:r>
    </w:p>
    <w:p w14:paraId="04773695" w14:textId="77777777" w:rsidR="00A30DEA" w:rsidRPr="00A30DEA" w:rsidRDefault="00A30DEA" w:rsidP="00A30DEA">
      <w:pPr>
        <w:numPr>
          <w:ilvl w:val="0"/>
          <w:numId w:val="4"/>
        </w:numPr>
      </w:pPr>
      <w:r w:rsidRPr="00A30DEA">
        <w:t xml:space="preserve">Hazard pictograms </w:t>
      </w:r>
    </w:p>
    <w:p w14:paraId="6C75A41B" w14:textId="77777777" w:rsidR="00A30DEA" w:rsidRPr="00A30DEA" w:rsidRDefault="00A30DEA" w:rsidP="00A30DEA">
      <w:pPr>
        <w:numPr>
          <w:ilvl w:val="0"/>
          <w:numId w:val="4"/>
        </w:numPr>
      </w:pPr>
      <w:r w:rsidRPr="00A30DEA">
        <w:t xml:space="preserve">Signal words (Danger/Warning) </w:t>
      </w:r>
    </w:p>
    <w:p w14:paraId="78257F90" w14:textId="77777777" w:rsidR="00A30DEA" w:rsidRPr="00A30DEA" w:rsidRDefault="00A30DEA" w:rsidP="00A30DEA">
      <w:pPr>
        <w:numPr>
          <w:ilvl w:val="0"/>
          <w:numId w:val="4"/>
        </w:numPr>
      </w:pPr>
      <w:r w:rsidRPr="00A30DEA">
        <w:t xml:space="preserve">Precautionary statements </w:t>
      </w:r>
    </w:p>
    <w:p w14:paraId="5EAB0B63" w14:textId="77777777" w:rsidR="00A30DEA" w:rsidRPr="00A30DEA" w:rsidRDefault="00A30DEA" w:rsidP="00565E0F">
      <w:pPr>
        <w:pStyle w:val="Heading2"/>
      </w:pPr>
      <w:r w:rsidRPr="00A30DEA">
        <w:t>Key Challenges in Chemical Registration</w:t>
      </w:r>
    </w:p>
    <w:tbl>
      <w:tblPr>
        <w:tblStyle w:val="TableGrid"/>
        <w:tblW w:w="0" w:type="auto"/>
        <w:tblLook w:val="04A0" w:firstRow="1" w:lastRow="0" w:firstColumn="1" w:lastColumn="0" w:noHBand="0" w:noVBand="1"/>
      </w:tblPr>
      <w:tblGrid>
        <w:gridCol w:w="2508"/>
        <w:gridCol w:w="3899"/>
      </w:tblGrid>
      <w:tr w:rsidR="00A30DEA" w:rsidRPr="00A30DEA" w14:paraId="5A54203C" w14:textId="77777777" w:rsidTr="00565E0F">
        <w:tc>
          <w:tcPr>
            <w:tcW w:w="0" w:type="auto"/>
            <w:shd w:val="clear" w:color="auto" w:fill="A5C9EB" w:themeFill="text2" w:themeFillTint="40"/>
            <w:hideMark/>
          </w:tcPr>
          <w:p w14:paraId="62E0BF83" w14:textId="77777777" w:rsidR="00A30DEA" w:rsidRPr="00A30DEA" w:rsidRDefault="00A30DEA" w:rsidP="00A30DEA">
            <w:pPr>
              <w:rPr>
                <w:b/>
                <w:bCs/>
              </w:rPr>
            </w:pPr>
            <w:r w:rsidRPr="00A30DEA">
              <w:rPr>
                <w:b/>
                <w:bCs/>
              </w:rPr>
              <w:t>Challenge</w:t>
            </w:r>
          </w:p>
        </w:tc>
        <w:tc>
          <w:tcPr>
            <w:tcW w:w="0" w:type="auto"/>
            <w:shd w:val="clear" w:color="auto" w:fill="A5C9EB" w:themeFill="text2" w:themeFillTint="40"/>
            <w:hideMark/>
          </w:tcPr>
          <w:p w14:paraId="631FE9AB" w14:textId="77777777" w:rsidR="00A30DEA" w:rsidRPr="00A30DEA" w:rsidRDefault="00A30DEA" w:rsidP="00A30DEA">
            <w:pPr>
              <w:rPr>
                <w:b/>
                <w:bCs/>
              </w:rPr>
            </w:pPr>
            <w:r w:rsidRPr="00A30DEA">
              <w:rPr>
                <w:b/>
                <w:bCs/>
              </w:rPr>
              <w:t>Impact</w:t>
            </w:r>
          </w:p>
        </w:tc>
      </w:tr>
      <w:tr w:rsidR="00A30DEA" w:rsidRPr="00A30DEA" w14:paraId="16D559DB" w14:textId="77777777" w:rsidTr="00565E0F">
        <w:tc>
          <w:tcPr>
            <w:tcW w:w="0" w:type="auto"/>
            <w:hideMark/>
          </w:tcPr>
          <w:p w14:paraId="686572D7" w14:textId="77777777" w:rsidR="00A30DEA" w:rsidRPr="00A30DEA" w:rsidRDefault="00A30DEA" w:rsidP="00A30DEA">
            <w:r w:rsidRPr="00A30DEA">
              <w:t>Regulatory complexity</w:t>
            </w:r>
          </w:p>
        </w:tc>
        <w:tc>
          <w:tcPr>
            <w:tcW w:w="0" w:type="auto"/>
            <w:hideMark/>
          </w:tcPr>
          <w:p w14:paraId="16F3822B" w14:textId="77777777" w:rsidR="00A30DEA" w:rsidRPr="00A30DEA" w:rsidRDefault="00A30DEA" w:rsidP="00A30DEA">
            <w:r w:rsidRPr="00A30DEA">
              <w:t>Multiple overlapping laws</w:t>
            </w:r>
          </w:p>
        </w:tc>
      </w:tr>
      <w:tr w:rsidR="00A30DEA" w:rsidRPr="00A30DEA" w14:paraId="2160B0E6" w14:textId="77777777" w:rsidTr="00565E0F">
        <w:tc>
          <w:tcPr>
            <w:tcW w:w="0" w:type="auto"/>
            <w:hideMark/>
          </w:tcPr>
          <w:p w14:paraId="11E4DCCF" w14:textId="77777777" w:rsidR="00A30DEA" w:rsidRPr="00A30DEA" w:rsidRDefault="00A30DEA" w:rsidP="00A30DEA">
            <w:r w:rsidRPr="00A30DEA">
              <w:t>Data requirements</w:t>
            </w:r>
          </w:p>
        </w:tc>
        <w:tc>
          <w:tcPr>
            <w:tcW w:w="0" w:type="auto"/>
            <w:hideMark/>
          </w:tcPr>
          <w:p w14:paraId="13F7B829" w14:textId="77777777" w:rsidR="00A30DEA" w:rsidRPr="00A30DEA" w:rsidRDefault="00A30DEA" w:rsidP="00A30DEA">
            <w:r w:rsidRPr="00A30DEA">
              <w:t>Extensive toxicological data needed</w:t>
            </w:r>
          </w:p>
        </w:tc>
      </w:tr>
      <w:tr w:rsidR="00A30DEA" w:rsidRPr="00A30DEA" w14:paraId="703E16DF" w14:textId="77777777" w:rsidTr="00565E0F">
        <w:tc>
          <w:tcPr>
            <w:tcW w:w="0" w:type="auto"/>
            <w:hideMark/>
          </w:tcPr>
          <w:p w14:paraId="156F1D48" w14:textId="77777777" w:rsidR="00A30DEA" w:rsidRPr="00A30DEA" w:rsidRDefault="00A30DEA" w:rsidP="00A30DEA">
            <w:r w:rsidRPr="00A30DEA">
              <w:t>Language compliance</w:t>
            </w:r>
          </w:p>
        </w:tc>
        <w:tc>
          <w:tcPr>
            <w:tcW w:w="0" w:type="auto"/>
            <w:hideMark/>
          </w:tcPr>
          <w:p w14:paraId="62C30FB2" w14:textId="77777777" w:rsidR="00A30DEA" w:rsidRPr="00A30DEA" w:rsidRDefault="00A30DEA" w:rsidP="00A30DEA">
            <w:r w:rsidRPr="00A30DEA">
              <w:t>Mandatory bilingual SDS and labels</w:t>
            </w:r>
          </w:p>
        </w:tc>
      </w:tr>
      <w:tr w:rsidR="00A30DEA" w:rsidRPr="00A30DEA" w14:paraId="30837259" w14:textId="77777777" w:rsidTr="00565E0F">
        <w:tc>
          <w:tcPr>
            <w:tcW w:w="0" w:type="auto"/>
            <w:hideMark/>
          </w:tcPr>
          <w:p w14:paraId="190068D8" w14:textId="77777777" w:rsidR="00A30DEA" w:rsidRPr="00A30DEA" w:rsidRDefault="00A30DEA" w:rsidP="00A30DEA">
            <w:r w:rsidRPr="00A30DEA">
              <w:t>Ongoing compliance</w:t>
            </w:r>
          </w:p>
        </w:tc>
        <w:tc>
          <w:tcPr>
            <w:tcW w:w="0" w:type="auto"/>
            <w:hideMark/>
          </w:tcPr>
          <w:p w14:paraId="3FC2D573" w14:textId="77777777" w:rsidR="00A30DEA" w:rsidRPr="00A30DEA" w:rsidRDefault="00A30DEA" w:rsidP="00A30DEA">
            <w:r w:rsidRPr="00A30DEA">
              <w:t>Regular audits and inspections</w:t>
            </w:r>
          </w:p>
        </w:tc>
      </w:tr>
    </w:tbl>
    <w:p w14:paraId="03D3C12A" w14:textId="77777777" w:rsidR="00A30DEA" w:rsidRPr="00A30DEA" w:rsidRDefault="00A30DEA" w:rsidP="00565E0F">
      <w:pPr>
        <w:pStyle w:val="Heading2"/>
      </w:pPr>
      <w:r w:rsidRPr="00A30DEA">
        <w:t>Why Compliance is Critical</w:t>
      </w:r>
    </w:p>
    <w:p w14:paraId="6DA62120" w14:textId="77777777" w:rsidR="00A30DEA" w:rsidRPr="00A30DEA" w:rsidRDefault="00A30DEA" w:rsidP="00A30DEA">
      <w:r w:rsidRPr="00A30DEA">
        <w:t>Failure to comply with Malaysian chemical regulations can result in:</w:t>
      </w:r>
    </w:p>
    <w:p w14:paraId="1951C3A9" w14:textId="77777777" w:rsidR="00A30DEA" w:rsidRPr="00A30DEA" w:rsidRDefault="00A30DEA" w:rsidP="00A30DEA">
      <w:pPr>
        <w:numPr>
          <w:ilvl w:val="0"/>
          <w:numId w:val="5"/>
        </w:numPr>
      </w:pPr>
      <w:r w:rsidRPr="00A30DEA">
        <w:rPr>
          <w:b/>
          <w:bCs/>
        </w:rPr>
        <w:t>Heavy fines and legal penalties</w:t>
      </w:r>
      <w:r w:rsidRPr="00A30DEA">
        <w:t xml:space="preserve"> </w:t>
      </w:r>
    </w:p>
    <w:p w14:paraId="70CBE7C2" w14:textId="77777777" w:rsidR="00A30DEA" w:rsidRPr="00A30DEA" w:rsidRDefault="00A30DEA" w:rsidP="00A30DEA">
      <w:pPr>
        <w:numPr>
          <w:ilvl w:val="0"/>
          <w:numId w:val="5"/>
        </w:numPr>
      </w:pPr>
      <w:r w:rsidRPr="00A30DEA">
        <w:rPr>
          <w:b/>
          <w:bCs/>
        </w:rPr>
        <w:t>Product seizure or market ban</w:t>
      </w:r>
      <w:r w:rsidRPr="00A30DEA">
        <w:t xml:space="preserve"> </w:t>
      </w:r>
    </w:p>
    <w:p w14:paraId="5986F49C" w14:textId="77777777" w:rsidR="00A30DEA" w:rsidRPr="00A30DEA" w:rsidRDefault="00A30DEA" w:rsidP="00A30DEA">
      <w:pPr>
        <w:numPr>
          <w:ilvl w:val="0"/>
          <w:numId w:val="5"/>
        </w:numPr>
      </w:pPr>
      <w:r w:rsidRPr="00A30DEA">
        <w:rPr>
          <w:b/>
          <w:bCs/>
        </w:rPr>
        <w:t>License suspension or revocation</w:t>
      </w:r>
      <w:r w:rsidRPr="00A30DEA">
        <w:t xml:space="preserve"> </w:t>
      </w:r>
    </w:p>
    <w:p w14:paraId="2962FDAF" w14:textId="77777777" w:rsidR="00A30DEA" w:rsidRPr="00A30DEA" w:rsidRDefault="00A30DEA" w:rsidP="00A30DEA">
      <w:pPr>
        <w:numPr>
          <w:ilvl w:val="0"/>
          <w:numId w:val="5"/>
        </w:numPr>
      </w:pPr>
      <w:r w:rsidRPr="00A30DEA">
        <w:rPr>
          <w:b/>
          <w:bCs/>
        </w:rPr>
        <w:t>Reputational and commercial risks</w:t>
      </w:r>
      <w:r w:rsidRPr="00A30DEA">
        <w:t xml:space="preserve"> </w:t>
      </w:r>
    </w:p>
    <w:p w14:paraId="17E50B3F" w14:textId="0E27594E" w:rsidR="00A30DEA" w:rsidRPr="00A30DEA" w:rsidRDefault="00A30DEA" w:rsidP="00565E0F">
      <w:pPr>
        <w:pStyle w:val="Heading2"/>
      </w:pPr>
      <w:r w:rsidRPr="00A30DEA">
        <w:lastRenderedPageBreak/>
        <w:t>Emerging Trends in Chemical Regulation</w:t>
      </w:r>
    </w:p>
    <w:p w14:paraId="48ED4082" w14:textId="77777777" w:rsidR="00A30DEA" w:rsidRPr="00A30DEA" w:rsidRDefault="00A30DEA" w:rsidP="00A30DEA">
      <w:pPr>
        <w:numPr>
          <w:ilvl w:val="0"/>
          <w:numId w:val="6"/>
        </w:numPr>
      </w:pPr>
      <w:r w:rsidRPr="00A30DEA">
        <w:t xml:space="preserve">Increased alignment with </w:t>
      </w:r>
      <w:r w:rsidRPr="00A30DEA">
        <w:rPr>
          <w:b/>
          <w:bCs/>
        </w:rPr>
        <w:t>global GHS updates</w:t>
      </w:r>
      <w:r w:rsidRPr="00A30DEA">
        <w:t xml:space="preserve"> </w:t>
      </w:r>
    </w:p>
    <w:p w14:paraId="50D0A626" w14:textId="77777777" w:rsidR="00A30DEA" w:rsidRPr="00A30DEA" w:rsidRDefault="00A30DEA" w:rsidP="00A30DEA">
      <w:pPr>
        <w:numPr>
          <w:ilvl w:val="0"/>
          <w:numId w:val="6"/>
        </w:numPr>
      </w:pPr>
      <w:r w:rsidRPr="00A30DEA">
        <w:t xml:space="preserve">Digitalization of </w:t>
      </w:r>
      <w:r w:rsidRPr="00A30DEA">
        <w:rPr>
          <w:b/>
          <w:bCs/>
        </w:rPr>
        <w:t>chemical registration systems (</w:t>
      </w:r>
      <w:proofErr w:type="spellStart"/>
      <w:r w:rsidRPr="00A30DEA">
        <w:rPr>
          <w:b/>
          <w:bCs/>
        </w:rPr>
        <w:t>MyEHS</w:t>
      </w:r>
      <w:proofErr w:type="spellEnd"/>
      <w:r w:rsidRPr="00A30DEA">
        <w:rPr>
          <w:b/>
          <w:bCs/>
        </w:rPr>
        <w:t xml:space="preserve"> enhancements)</w:t>
      </w:r>
      <w:r w:rsidRPr="00A30DEA">
        <w:t xml:space="preserve"> </w:t>
      </w:r>
    </w:p>
    <w:p w14:paraId="6F82E15C" w14:textId="77777777" w:rsidR="00A30DEA" w:rsidRPr="00A30DEA" w:rsidRDefault="00A30DEA" w:rsidP="00A30DEA">
      <w:pPr>
        <w:numPr>
          <w:ilvl w:val="0"/>
          <w:numId w:val="6"/>
        </w:numPr>
      </w:pPr>
      <w:r w:rsidRPr="00A30DEA">
        <w:t xml:space="preserve">Greater emphasis on </w:t>
      </w:r>
      <w:r w:rsidRPr="00A30DEA">
        <w:rPr>
          <w:b/>
          <w:bCs/>
        </w:rPr>
        <w:t>environmental risk assessment (ERA)</w:t>
      </w:r>
      <w:r w:rsidRPr="00A30DEA">
        <w:t xml:space="preserve"> </w:t>
      </w:r>
    </w:p>
    <w:p w14:paraId="0B0C734C" w14:textId="77777777" w:rsidR="00A30DEA" w:rsidRPr="00A30DEA" w:rsidRDefault="00A30DEA" w:rsidP="00A30DEA">
      <w:pPr>
        <w:numPr>
          <w:ilvl w:val="0"/>
          <w:numId w:val="6"/>
        </w:numPr>
      </w:pPr>
      <w:r w:rsidRPr="00A30DEA">
        <w:t xml:space="preserve">Expansion of </w:t>
      </w:r>
      <w:r w:rsidRPr="00A30DEA">
        <w:rPr>
          <w:b/>
          <w:bCs/>
        </w:rPr>
        <w:t>chemical inventory and reporting requirements</w:t>
      </w:r>
      <w:r w:rsidRPr="00A30DEA">
        <w:t xml:space="preserve"> </w:t>
      </w:r>
    </w:p>
    <w:p w14:paraId="77AFDB3C" w14:textId="77777777" w:rsidR="00A30DEA" w:rsidRPr="00A30DEA" w:rsidRDefault="00A30DEA" w:rsidP="00565E0F">
      <w:pPr>
        <w:pStyle w:val="Heading2"/>
      </w:pPr>
      <w:r w:rsidRPr="00A30DEA">
        <w:t xml:space="preserve">Integration of sustainability and green chemistry regulations </w:t>
      </w:r>
    </w:p>
    <w:p w14:paraId="67D6724D" w14:textId="77777777" w:rsidR="00A30DEA" w:rsidRPr="00A30DEA" w:rsidRDefault="00A30DEA" w:rsidP="00565E0F">
      <w:pPr>
        <w:pStyle w:val="Heading2"/>
      </w:pPr>
      <w:r w:rsidRPr="00A30DEA">
        <w:t>How Maven Regulatory Solutions Supports Chemical Compliance</w:t>
      </w:r>
    </w:p>
    <w:p w14:paraId="28EBDA54" w14:textId="77777777" w:rsidR="00A30DEA" w:rsidRPr="00A30DEA" w:rsidRDefault="00A30DEA" w:rsidP="00A30DEA">
      <w:r w:rsidRPr="00A30DEA">
        <w:t xml:space="preserve">Maven provides </w:t>
      </w:r>
      <w:r w:rsidRPr="00A30DEA">
        <w:rPr>
          <w:b/>
          <w:bCs/>
        </w:rPr>
        <w:t>end-to-end regulatory consulting services</w:t>
      </w:r>
      <w:r w:rsidRPr="00A30DEA">
        <w:t xml:space="preserve"> to ensure seamless chemical registration and compliance in Malaysia.</w:t>
      </w:r>
    </w:p>
    <w:p w14:paraId="7B2380A2" w14:textId="77777777" w:rsidR="00A30DEA" w:rsidRPr="00A30DEA" w:rsidRDefault="00A30DEA" w:rsidP="00A30DEA">
      <w:pPr>
        <w:rPr>
          <w:b/>
          <w:bCs/>
        </w:rPr>
      </w:pPr>
      <w:r w:rsidRPr="00A30DEA">
        <w:rPr>
          <w:b/>
          <w:bCs/>
        </w:rPr>
        <w:t>1. Chemical Hazard Classification &amp; Risk Assessment</w:t>
      </w:r>
    </w:p>
    <w:p w14:paraId="1C0AC8EE" w14:textId="77777777" w:rsidR="00A30DEA" w:rsidRPr="00A30DEA" w:rsidRDefault="00A30DEA" w:rsidP="00A30DEA">
      <w:pPr>
        <w:numPr>
          <w:ilvl w:val="0"/>
          <w:numId w:val="7"/>
        </w:numPr>
      </w:pPr>
      <w:r w:rsidRPr="00A30DEA">
        <w:t xml:space="preserve">GHS classification and labeling </w:t>
      </w:r>
    </w:p>
    <w:p w14:paraId="64CB1286" w14:textId="77777777" w:rsidR="00A30DEA" w:rsidRPr="00A30DEA" w:rsidRDefault="00A30DEA" w:rsidP="00A30DEA">
      <w:pPr>
        <w:numPr>
          <w:ilvl w:val="0"/>
          <w:numId w:val="7"/>
        </w:numPr>
      </w:pPr>
      <w:r w:rsidRPr="00A30DEA">
        <w:t xml:space="preserve">Toxicological and ecotoxicological evaluations </w:t>
      </w:r>
    </w:p>
    <w:p w14:paraId="58E3E3F1" w14:textId="77777777" w:rsidR="00A30DEA" w:rsidRPr="00A30DEA" w:rsidRDefault="00A30DEA" w:rsidP="00A30DEA">
      <w:pPr>
        <w:rPr>
          <w:b/>
          <w:bCs/>
        </w:rPr>
      </w:pPr>
      <w:r w:rsidRPr="00A30DEA">
        <w:rPr>
          <w:b/>
          <w:bCs/>
        </w:rPr>
        <w:t>2. SDS &amp; Label Authoring</w:t>
      </w:r>
    </w:p>
    <w:p w14:paraId="39AC7B5A" w14:textId="77777777" w:rsidR="00A30DEA" w:rsidRPr="00A30DEA" w:rsidRDefault="00A30DEA" w:rsidP="00A30DEA">
      <w:pPr>
        <w:numPr>
          <w:ilvl w:val="0"/>
          <w:numId w:val="8"/>
        </w:numPr>
      </w:pPr>
      <w:r w:rsidRPr="00A30DEA">
        <w:t xml:space="preserve">Preparation of compliant SDS (bilingual) </w:t>
      </w:r>
    </w:p>
    <w:p w14:paraId="29050DA1" w14:textId="77777777" w:rsidR="00A30DEA" w:rsidRPr="00A30DEA" w:rsidRDefault="00A30DEA" w:rsidP="00A30DEA">
      <w:pPr>
        <w:numPr>
          <w:ilvl w:val="0"/>
          <w:numId w:val="8"/>
        </w:numPr>
      </w:pPr>
      <w:r w:rsidRPr="00A30DEA">
        <w:t xml:space="preserve">Label development aligned with CLASS regulations </w:t>
      </w:r>
    </w:p>
    <w:p w14:paraId="13C7B6A3" w14:textId="77777777" w:rsidR="00A30DEA" w:rsidRPr="00A30DEA" w:rsidRDefault="00A30DEA" w:rsidP="00A30DEA">
      <w:pPr>
        <w:rPr>
          <w:b/>
          <w:bCs/>
        </w:rPr>
      </w:pPr>
      <w:r w:rsidRPr="00A30DEA">
        <w:rPr>
          <w:b/>
          <w:bCs/>
        </w:rPr>
        <w:t xml:space="preserve">3. </w:t>
      </w:r>
      <w:proofErr w:type="spellStart"/>
      <w:r w:rsidRPr="00A30DEA">
        <w:rPr>
          <w:b/>
          <w:bCs/>
        </w:rPr>
        <w:t>MyEHS</w:t>
      </w:r>
      <w:proofErr w:type="spellEnd"/>
      <w:r w:rsidRPr="00A30DEA">
        <w:rPr>
          <w:b/>
          <w:bCs/>
        </w:rPr>
        <w:t xml:space="preserve"> Registration Support</w:t>
      </w:r>
    </w:p>
    <w:p w14:paraId="6FB6352C" w14:textId="77777777" w:rsidR="00A30DEA" w:rsidRPr="00A30DEA" w:rsidRDefault="00A30DEA" w:rsidP="00A30DEA">
      <w:pPr>
        <w:numPr>
          <w:ilvl w:val="0"/>
          <w:numId w:val="9"/>
        </w:numPr>
      </w:pPr>
      <w:r w:rsidRPr="00A30DEA">
        <w:t xml:space="preserve">Chemical notification and registration </w:t>
      </w:r>
    </w:p>
    <w:p w14:paraId="3C22CE66" w14:textId="77777777" w:rsidR="00A30DEA" w:rsidRPr="00A30DEA" w:rsidRDefault="00A30DEA" w:rsidP="00A30DEA">
      <w:pPr>
        <w:numPr>
          <w:ilvl w:val="0"/>
          <w:numId w:val="9"/>
        </w:numPr>
      </w:pPr>
      <w:r w:rsidRPr="00A30DEA">
        <w:t xml:space="preserve">Documentation preparation and submission </w:t>
      </w:r>
    </w:p>
    <w:p w14:paraId="1E54EACF" w14:textId="77777777" w:rsidR="00A30DEA" w:rsidRPr="00A30DEA" w:rsidRDefault="00A30DEA" w:rsidP="00A30DEA">
      <w:pPr>
        <w:numPr>
          <w:ilvl w:val="0"/>
          <w:numId w:val="9"/>
        </w:numPr>
      </w:pPr>
      <w:r w:rsidRPr="00A30DEA">
        <w:t xml:space="preserve">Regulatory liaison with DOSH </w:t>
      </w:r>
    </w:p>
    <w:p w14:paraId="1272463C" w14:textId="77777777" w:rsidR="00A30DEA" w:rsidRPr="00A30DEA" w:rsidRDefault="00A30DEA" w:rsidP="00A30DEA">
      <w:pPr>
        <w:rPr>
          <w:b/>
          <w:bCs/>
        </w:rPr>
      </w:pPr>
      <w:r w:rsidRPr="00A30DEA">
        <w:rPr>
          <w:b/>
          <w:bCs/>
        </w:rPr>
        <w:t>4. Regulatory Intelligence &amp; Compliance Strategy</w:t>
      </w:r>
    </w:p>
    <w:p w14:paraId="44FD19F4" w14:textId="77777777" w:rsidR="00A30DEA" w:rsidRPr="00A30DEA" w:rsidRDefault="00A30DEA" w:rsidP="00A30DEA">
      <w:pPr>
        <w:numPr>
          <w:ilvl w:val="0"/>
          <w:numId w:val="10"/>
        </w:numPr>
      </w:pPr>
      <w:r w:rsidRPr="00A30DEA">
        <w:t xml:space="preserve">Monitoring regulatory updates </w:t>
      </w:r>
    </w:p>
    <w:p w14:paraId="3CD97B49" w14:textId="77777777" w:rsidR="00A30DEA" w:rsidRPr="00A30DEA" w:rsidRDefault="00A30DEA" w:rsidP="00A30DEA">
      <w:pPr>
        <w:numPr>
          <w:ilvl w:val="0"/>
          <w:numId w:val="10"/>
        </w:numPr>
      </w:pPr>
      <w:r w:rsidRPr="00A30DEA">
        <w:t xml:space="preserve">Gap analysis and audit readiness </w:t>
      </w:r>
    </w:p>
    <w:p w14:paraId="7E5B6A98" w14:textId="77777777" w:rsidR="00A30DEA" w:rsidRPr="00A30DEA" w:rsidRDefault="00A30DEA" w:rsidP="00A30DEA">
      <w:pPr>
        <w:numPr>
          <w:ilvl w:val="0"/>
          <w:numId w:val="10"/>
        </w:numPr>
      </w:pPr>
      <w:r w:rsidRPr="00A30DEA">
        <w:t xml:space="preserve">ASEAN market entry strategy </w:t>
      </w:r>
    </w:p>
    <w:p w14:paraId="0FB445BA" w14:textId="77777777" w:rsidR="00A30DEA" w:rsidRPr="00A30DEA" w:rsidRDefault="00A30DEA" w:rsidP="00A30DEA">
      <w:pPr>
        <w:rPr>
          <w:b/>
          <w:bCs/>
        </w:rPr>
      </w:pPr>
      <w:r w:rsidRPr="00A30DEA">
        <w:rPr>
          <w:b/>
          <w:bCs/>
        </w:rPr>
        <w:t>5. Training &amp; Capacity Building</w:t>
      </w:r>
    </w:p>
    <w:p w14:paraId="11E3A253" w14:textId="77777777" w:rsidR="00A30DEA" w:rsidRPr="00A30DEA" w:rsidRDefault="00A30DEA" w:rsidP="00A30DEA">
      <w:pPr>
        <w:numPr>
          <w:ilvl w:val="0"/>
          <w:numId w:val="11"/>
        </w:numPr>
      </w:pPr>
      <w:r w:rsidRPr="00A30DEA">
        <w:t xml:space="preserve">GHS and CLASS compliance training </w:t>
      </w:r>
    </w:p>
    <w:p w14:paraId="64D71501" w14:textId="77777777" w:rsidR="00A30DEA" w:rsidRPr="00A30DEA" w:rsidRDefault="00A30DEA" w:rsidP="00A30DEA">
      <w:pPr>
        <w:numPr>
          <w:ilvl w:val="0"/>
          <w:numId w:val="11"/>
        </w:numPr>
      </w:pPr>
      <w:r w:rsidRPr="00A30DEA">
        <w:lastRenderedPageBreak/>
        <w:t xml:space="preserve">Workplace chemical safety programs </w:t>
      </w:r>
    </w:p>
    <w:p w14:paraId="2A4DB2D0" w14:textId="77777777" w:rsidR="00A30DEA" w:rsidRPr="00A30DEA" w:rsidRDefault="00A30DEA" w:rsidP="00A30DEA">
      <w:pPr>
        <w:numPr>
          <w:ilvl w:val="0"/>
          <w:numId w:val="11"/>
        </w:numPr>
      </w:pPr>
      <w:r w:rsidRPr="00A30DEA">
        <w:t xml:space="preserve">SOP development for handling hazardous chemicals </w:t>
      </w:r>
    </w:p>
    <w:p w14:paraId="613AB702" w14:textId="77777777" w:rsidR="00A30DEA" w:rsidRPr="00A30DEA" w:rsidRDefault="00A30DEA" w:rsidP="00565E0F">
      <w:pPr>
        <w:pStyle w:val="Heading2"/>
      </w:pPr>
      <w:r w:rsidRPr="00A30DEA">
        <w:t>Conclusion</w:t>
      </w:r>
    </w:p>
    <w:p w14:paraId="248BA145" w14:textId="77777777" w:rsidR="00A30DEA" w:rsidRPr="00A30DEA" w:rsidRDefault="00A30DEA" w:rsidP="00A30DEA">
      <w:r w:rsidRPr="00A30DEA">
        <w:t xml:space="preserve">Navigating </w:t>
      </w:r>
      <w:r w:rsidRPr="00A30DEA">
        <w:rPr>
          <w:b/>
          <w:bCs/>
        </w:rPr>
        <w:t>chemical registration in Malaysia</w:t>
      </w:r>
      <w:r w:rsidRPr="00A30DEA">
        <w:t xml:space="preserve"> requires a thorough understanding of </w:t>
      </w:r>
      <w:proofErr w:type="spellStart"/>
      <w:r w:rsidRPr="00A30DEA">
        <w:rPr>
          <w:b/>
          <w:bCs/>
        </w:rPr>
        <w:t>MyEHS</w:t>
      </w:r>
      <w:proofErr w:type="spellEnd"/>
      <w:r w:rsidRPr="00A30DEA">
        <w:rPr>
          <w:b/>
          <w:bCs/>
        </w:rPr>
        <w:t xml:space="preserve"> notification systems, CLASS regulations, and multi-agency compliance requirements</w:t>
      </w:r>
      <w:r w:rsidRPr="00A30DEA">
        <w:t>. Companies must ensure:</w:t>
      </w:r>
    </w:p>
    <w:p w14:paraId="1BB6A0DF" w14:textId="77777777" w:rsidR="00A30DEA" w:rsidRPr="00A30DEA" w:rsidRDefault="00A30DEA" w:rsidP="00A30DEA">
      <w:pPr>
        <w:numPr>
          <w:ilvl w:val="0"/>
          <w:numId w:val="12"/>
        </w:numPr>
      </w:pPr>
      <w:r w:rsidRPr="00A30DEA">
        <w:t xml:space="preserve">Accurate </w:t>
      </w:r>
      <w:r w:rsidRPr="00A30DEA">
        <w:rPr>
          <w:b/>
          <w:bCs/>
        </w:rPr>
        <w:t>hazard classification</w:t>
      </w:r>
      <w:r w:rsidRPr="00A30DEA">
        <w:t xml:space="preserve"> </w:t>
      </w:r>
    </w:p>
    <w:p w14:paraId="48464575" w14:textId="77777777" w:rsidR="00A30DEA" w:rsidRPr="00A30DEA" w:rsidRDefault="00A30DEA" w:rsidP="00A30DEA">
      <w:pPr>
        <w:numPr>
          <w:ilvl w:val="0"/>
          <w:numId w:val="12"/>
        </w:numPr>
      </w:pPr>
      <w:r w:rsidRPr="00A30DEA">
        <w:t xml:space="preserve">Proper </w:t>
      </w:r>
      <w:r w:rsidRPr="00A30DEA">
        <w:rPr>
          <w:b/>
          <w:bCs/>
        </w:rPr>
        <w:t>SDS and labeling compliance</w:t>
      </w:r>
      <w:r w:rsidRPr="00A30DEA">
        <w:t xml:space="preserve"> </w:t>
      </w:r>
    </w:p>
    <w:p w14:paraId="4AE3670E" w14:textId="77777777" w:rsidR="00A30DEA" w:rsidRPr="00A30DEA" w:rsidRDefault="00A30DEA" w:rsidP="00A30DEA">
      <w:pPr>
        <w:numPr>
          <w:ilvl w:val="0"/>
          <w:numId w:val="12"/>
        </w:numPr>
      </w:pPr>
      <w:r w:rsidRPr="00A30DEA">
        <w:t xml:space="preserve">Timely </w:t>
      </w:r>
      <w:r w:rsidRPr="00A30DEA">
        <w:rPr>
          <w:b/>
          <w:bCs/>
        </w:rPr>
        <w:t>registration and licensing approvals</w:t>
      </w:r>
      <w:r w:rsidRPr="00A30DEA">
        <w:t xml:space="preserve"> </w:t>
      </w:r>
    </w:p>
    <w:p w14:paraId="10F55DDA" w14:textId="77777777" w:rsidR="00A30DEA" w:rsidRPr="00A30DEA" w:rsidRDefault="00A30DEA" w:rsidP="00A30DEA">
      <w:r w:rsidRPr="00A30DEA">
        <w:t xml:space="preserve">By adopting a </w:t>
      </w:r>
      <w:r w:rsidRPr="00A30DEA">
        <w:rPr>
          <w:b/>
          <w:bCs/>
        </w:rPr>
        <w:t>proactive regulatory strategy and partnering with experts like Maven Regulatory Solutions</w:t>
      </w:r>
      <w:r w:rsidRPr="00A30DEA">
        <w:t xml:space="preserve">, businesses can </w:t>
      </w:r>
      <w:r w:rsidRPr="00A30DEA">
        <w:rPr>
          <w:b/>
          <w:bCs/>
        </w:rPr>
        <w:t>streamline compliance, reduce risks, and achieve successful market entry in Malaysia</w:t>
      </w:r>
      <w:r w:rsidRPr="00A30DEA">
        <w:t>.</w:t>
      </w:r>
    </w:p>
    <w:p w14:paraId="135FDB11" w14:textId="4EAB648E" w:rsidR="00A30DEA" w:rsidRPr="00A30DEA" w:rsidRDefault="00A30DEA" w:rsidP="00565E0F">
      <w:pPr>
        <w:pStyle w:val="Heading2"/>
      </w:pPr>
      <w:r w:rsidRPr="00A30DEA">
        <w:t>FAQs</w:t>
      </w:r>
    </w:p>
    <w:p w14:paraId="5F63E906" w14:textId="77777777" w:rsidR="00A30DEA" w:rsidRPr="00A30DEA" w:rsidRDefault="00A30DEA" w:rsidP="00A30DEA">
      <w:pPr>
        <w:rPr>
          <w:b/>
          <w:bCs/>
        </w:rPr>
      </w:pPr>
      <w:r w:rsidRPr="00A30DEA">
        <w:rPr>
          <w:b/>
          <w:bCs/>
        </w:rPr>
        <w:t xml:space="preserve">1. What is </w:t>
      </w:r>
      <w:proofErr w:type="spellStart"/>
      <w:r w:rsidRPr="00A30DEA">
        <w:rPr>
          <w:b/>
          <w:bCs/>
        </w:rPr>
        <w:t>MyEHS</w:t>
      </w:r>
      <w:proofErr w:type="spellEnd"/>
      <w:r w:rsidRPr="00A30DEA">
        <w:rPr>
          <w:b/>
          <w:bCs/>
        </w:rPr>
        <w:t xml:space="preserve"> in Malaysia?</w:t>
      </w:r>
    </w:p>
    <w:p w14:paraId="16EF80D2" w14:textId="77777777" w:rsidR="00A30DEA" w:rsidRPr="00A30DEA" w:rsidRDefault="00A30DEA" w:rsidP="00A30DEA">
      <w:proofErr w:type="spellStart"/>
      <w:r w:rsidRPr="00A30DEA">
        <w:t>MyEHS</w:t>
      </w:r>
      <w:proofErr w:type="spellEnd"/>
      <w:r w:rsidRPr="00A30DEA">
        <w:t xml:space="preserve"> is an electronic system for notification and registration of hazardous chemicals managed by DOSH.</w:t>
      </w:r>
    </w:p>
    <w:p w14:paraId="5D26043C" w14:textId="77777777" w:rsidR="00A30DEA" w:rsidRPr="00A30DEA" w:rsidRDefault="00A30DEA" w:rsidP="00A30DEA">
      <w:pPr>
        <w:rPr>
          <w:b/>
          <w:bCs/>
        </w:rPr>
      </w:pPr>
      <w:r w:rsidRPr="00A30DEA">
        <w:rPr>
          <w:b/>
          <w:bCs/>
        </w:rPr>
        <w:t>2. Are SDS mandatory in Malaysia?</w:t>
      </w:r>
    </w:p>
    <w:p w14:paraId="167D57ED" w14:textId="77777777" w:rsidR="00A30DEA" w:rsidRPr="00A30DEA" w:rsidRDefault="00A30DEA" w:rsidP="00A30DEA">
      <w:r w:rsidRPr="00A30DEA">
        <w:t>Yes, SDS must comply with GHS and be available in both Bahasa Malaysia and English.</w:t>
      </w:r>
    </w:p>
    <w:p w14:paraId="41C51CEC" w14:textId="77777777" w:rsidR="00A30DEA" w:rsidRPr="00A30DEA" w:rsidRDefault="00A30DEA" w:rsidP="00A30DEA">
      <w:pPr>
        <w:rPr>
          <w:b/>
          <w:bCs/>
        </w:rPr>
      </w:pPr>
      <w:r w:rsidRPr="00A30DEA">
        <w:rPr>
          <w:b/>
          <w:bCs/>
        </w:rPr>
        <w:t>3. What are CLASS Regulations?</w:t>
      </w:r>
    </w:p>
    <w:p w14:paraId="41F36F0A" w14:textId="77777777" w:rsidR="00A30DEA" w:rsidRPr="00A30DEA" w:rsidRDefault="00A30DEA" w:rsidP="00A30DEA">
      <w:r w:rsidRPr="00A30DEA">
        <w:t>They govern chemical classification, labeling, and safety data sheets in line with GHS.</w:t>
      </w:r>
    </w:p>
    <w:p w14:paraId="60338B90" w14:textId="77777777" w:rsidR="00A30DEA" w:rsidRPr="00A30DEA" w:rsidRDefault="00A30DEA" w:rsidP="00A30DEA">
      <w:pPr>
        <w:rPr>
          <w:b/>
          <w:bCs/>
        </w:rPr>
      </w:pPr>
      <w:r w:rsidRPr="00A30DEA">
        <w:rPr>
          <w:b/>
          <w:bCs/>
        </w:rPr>
        <w:t>4. Who regulates chemicals in Malaysia?</w:t>
      </w:r>
    </w:p>
    <w:p w14:paraId="347DF47F" w14:textId="77777777" w:rsidR="00A30DEA" w:rsidRPr="00A30DEA" w:rsidRDefault="00A30DEA" w:rsidP="00A30DEA">
      <w:r w:rsidRPr="00A30DEA">
        <w:t>Primarily DOSH and DOE, along with MOH and other authorities depending on chemical type.</w:t>
      </w:r>
    </w:p>
    <w:p w14:paraId="6ED714C7" w14:textId="77777777" w:rsidR="00A30DEA" w:rsidRPr="00A30DEA" w:rsidRDefault="00A30DEA" w:rsidP="00A30DEA">
      <w:pPr>
        <w:rPr>
          <w:b/>
          <w:bCs/>
        </w:rPr>
      </w:pPr>
      <w:r w:rsidRPr="00A30DEA">
        <w:rPr>
          <w:b/>
          <w:bCs/>
        </w:rPr>
        <w:t>5. What happens if companies fail to comply?</w:t>
      </w:r>
    </w:p>
    <w:p w14:paraId="4C45093C" w14:textId="77777777" w:rsidR="00A30DEA" w:rsidRDefault="00A30DEA" w:rsidP="00A30DEA">
      <w:r w:rsidRPr="00A30DEA">
        <w:t>Penalties include fines, product bans, and legal action.</w:t>
      </w:r>
    </w:p>
    <w:p w14:paraId="06F86A70" w14:textId="77777777" w:rsidR="00565E0F" w:rsidRDefault="00565E0F" w:rsidP="00565E0F">
      <w:pPr>
        <w:rPr>
          <w:b/>
          <w:bCs/>
        </w:rPr>
      </w:pPr>
    </w:p>
    <w:p w14:paraId="4C13B0B2" w14:textId="77777777" w:rsidR="00565E0F" w:rsidRDefault="00565E0F" w:rsidP="00565E0F">
      <w:pPr>
        <w:rPr>
          <w:b/>
          <w:bCs/>
        </w:rPr>
      </w:pPr>
    </w:p>
    <w:p w14:paraId="1EE13C1A" w14:textId="031808BB" w:rsidR="00565E0F" w:rsidRPr="00A30DEA" w:rsidRDefault="00565E0F" w:rsidP="00565E0F">
      <w:pPr>
        <w:rPr>
          <w:b/>
          <w:bCs/>
        </w:rPr>
      </w:pPr>
      <w:r w:rsidRPr="00A30DEA">
        <w:rPr>
          <w:b/>
          <w:bCs/>
        </w:rPr>
        <w:lastRenderedPageBreak/>
        <w:t xml:space="preserve">Meta Title </w:t>
      </w:r>
    </w:p>
    <w:p w14:paraId="41CB801F" w14:textId="77777777" w:rsidR="00565E0F" w:rsidRPr="00565E0F" w:rsidRDefault="00565E0F" w:rsidP="00565E0F">
      <w:r w:rsidRPr="00565E0F">
        <w:t xml:space="preserve">Chemical Registration Malaysia: </w:t>
      </w:r>
      <w:proofErr w:type="spellStart"/>
      <w:r w:rsidRPr="00565E0F">
        <w:t>MyEHS</w:t>
      </w:r>
      <w:proofErr w:type="spellEnd"/>
      <w:r w:rsidRPr="00565E0F">
        <w:t xml:space="preserve"> &amp; CLASS Guide</w:t>
      </w:r>
    </w:p>
    <w:p w14:paraId="36FEF476" w14:textId="77777777" w:rsidR="00565E0F" w:rsidRPr="00A30DEA" w:rsidRDefault="00565E0F" w:rsidP="00565E0F">
      <w:pPr>
        <w:rPr>
          <w:b/>
          <w:bCs/>
        </w:rPr>
      </w:pPr>
      <w:r w:rsidRPr="00A30DEA">
        <w:rPr>
          <w:b/>
          <w:bCs/>
        </w:rPr>
        <w:t>Meta Summary</w:t>
      </w:r>
    </w:p>
    <w:p w14:paraId="6DF52C7B" w14:textId="77777777" w:rsidR="00565E0F" w:rsidRPr="00A30DEA" w:rsidRDefault="00565E0F" w:rsidP="00565E0F">
      <w:r w:rsidRPr="00A30DEA">
        <w:t xml:space="preserve">Learn the complete process for chemical registration in Malaysia, including </w:t>
      </w:r>
      <w:proofErr w:type="spellStart"/>
      <w:r w:rsidRPr="00A30DEA">
        <w:t>MyEHS</w:t>
      </w:r>
      <w:proofErr w:type="spellEnd"/>
      <w:r w:rsidRPr="00A30DEA">
        <w:t xml:space="preserve"> notification, CLASS regulations, SDS requirements, and compliance strategies for manufacturers and importers.</w:t>
      </w:r>
    </w:p>
    <w:p w14:paraId="71B84DD0" w14:textId="77777777" w:rsidR="00565E0F" w:rsidRPr="00A30DEA" w:rsidRDefault="00565E0F" w:rsidP="00565E0F">
      <w:pPr>
        <w:rPr>
          <w:b/>
          <w:bCs/>
        </w:rPr>
      </w:pPr>
      <w:r w:rsidRPr="00A30DEA">
        <w:rPr>
          <w:b/>
          <w:bCs/>
        </w:rPr>
        <w:t>Meta Keywords</w:t>
      </w:r>
    </w:p>
    <w:p w14:paraId="468E0A64" w14:textId="77777777" w:rsidR="00565E0F" w:rsidRPr="00A30DEA" w:rsidRDefault="00565E0F" w:rsidP="00565E0F">
      <w:r w:rsidRPr="00A30DEA">
        <w:t xml:space="preserve">chemical registration Malaysia, </w:t>
      </w:r>
      <w:proofErr w:type="spellStart"/>
      <w:r w:rsidRPr="00A30DEA">
        <w:t>MyEHS</w:t>
      </w:r>
      <w:proofErr w:type="spellEnd"/>
      <w:r w:rsidRPr="00A30DEA">
        <w:t xml:space="preserve"> registration DOSH, CLASS regulations Malaysia GHS, SDS Malaysia compliance, chemical regulatory compliance Malaysia, DOSH chemical notification, DOE Malaysia chemical regulations, GHS classification Malaysia, hazardous chemical registration Malaysia, safety data sheet Bahasa Malaysia, chemical import regulations Malaysia, toxic substance licensing Malaysia, ecotoxicology data requirements Malaysia, regulatory consulting chemicals Malaysia, Maven Regulatory Solutions, chemical hazard classification GHS Malaysia, chemical compliance ASEAN market, industrial chemical registration Malaysia, environmental compliance DOE Malaysia</w:t>
      </w:r>
    </w:p>
    <w:p w14:paraId="4C189778" w14:textId="77777777" w:rsidR="00FC2CCC" w:rsidRPr="001F07E6" w:rsidRDefault="00FC2CCC" w:rsidP="00FC2CCC">
      <w:pPr>
        <w:rPr>
          <w:b/>
          <w:bCs/>
        </w:rPr>
      </w:pPr>
      <w:r w:rsidRPr="001F07E6">
        <w:rPr>
          <w:b/>
          <w:bCs/>
        </w:rPr>
        <w:t>Blog Tags</w:t>
      </w:r>
    </w:p>
    <w:p w14:paraId="3C5D5FB7" w14:textId="26A2AB79" w:rsidR="00A30DEA" w:rsidRDefault="00FC2CCC">
      <w:hyperlink r:id="rId10" w:history="1">
        <w:r w:rsidRPr="00454EAD">
          <w:rPr>
            <w:rStyle w:val="Hyperlink"/>
            <w:u w:val="none"/>
          </w:rPr>
          <w:t>Chemicals</w:t>
        </w:r>
      </w:hyperlink>
      <w:r w:rsidRPr="00454EAD">
        <w:t xml:space="preserve"> , </w:t>
      </w:r>
      <w:hyperlink r:id="rId11" w:history="1">
        <w:r w:rsidRPr="00454EAD">
          <w:rPr>
            <w:rStyle w:val="Hyperlink"/>
            <w:u w:val="none"/>
          </w:rPr>
          <w:t>Poison Center &amp; Chemical Registry</w:t>
        </w:r>
      </w:hyperlink>
      <w:r w:rsidRPr="00454EAD">
        <w:t xml:space="preserve"> , </w:t>
      </w:r>
      <w:hyperlink r:id="rId12" w:history="1">
        <w:r w:rsidRPr="00454EAD">
          <w:rPr>
            <w:rStyle w:val="Hyperlink"/>
            <w:u w:val="none"/>
          </w:rPr>
          <w:t>REACH</w:t>
        </w:r>
      </w:hyperlink>
      <w:r w:rsidRPr="00454EAD">
        <w:t xml:space="preserve"> , </w:t>
      </w:r>
      <w:hyperlink r:id="rId13" w:history="1">
        <w:r w:rsidRPr="00454EAD">
          <w:rPr>
            <w:rStyle w:val="Hyperlink"/>
            <w:u w:val="none"/>
          </w:rPr>
          <w:t>Safety Data Sheet (SDS)</w:t>
        </w:r>
      </w:hyperlink>
      <w:r w:rsidRPr="00454EAD">
        <w:t xml:space="preserve"> , </w:t>
      </w:r>
      <w:hyperlink r:id="rId14" w:history="1">
        <w:r w:rsidRPr="00454EAD">
          <w:rPr>
            <w:rStyle w:val="Hyperlink"/>
            <w:u w:val="none"/>
          </w:rPr>
          <w:t>Regulatory Affairs</w:t>
        </w:r>
      </w:hyperlink>
      <w:r w:rsidRPr="00454EAD">
        <w:t xml:space="preserve"> </w:t>
      </w:r>
    </w:p>
    <w:sectPr w:rsidR="00A30DEA"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1F2"/>
    <w:multiLevelType w:val="multilevel"/>
    <w:tmpl w:val="86D8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40E11"/>
    <w:multiLevelType w:val="multilevel"/>
    <w:tmpl w:val="CF4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A5145"/>
    <w:multiLevelType w:val="multilevel"/>
    <w:tmpl w:val="F64C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E6F27"/>
    <w:multiLevelType w:val="multilevel"/>
    <w:tmpl w:val="EA2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722AC"/>
    <w:multiLevelType w:val="multilevel"/>
    <w:tmpl w:val="B16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B3B84"/>
    <w:multiLevelType w:val="multilevel"/>
    <w:tmpl w:val="0DF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77861"/>
    <w:multiLevelType w:val="multilevel"/>
    <w:tmpl w:val="04D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24D75"/>
    <w:multiLevelType w:val="multilevel"/>
    <w:tmpl w:val="6DF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C52F6"/>
    <w:multiLevelType w:val="multilevel"/>
    <w:tmpl w:val="F08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B4BD6"/>
    <w:multiLevelType w:val="multilevel"/>
    <w:tmpl w:val="2EB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727F4"/>
    <w:multiLevelType w:val="multilevel"/>
    <w:tmpl w:val="0F5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024E0"/>
    <w:multiLevelType w:val="multilevel"/>
    <w:tmpl w:val="D0C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22614">
    <w:abstractNumId w:val="2"/>
  </w:num>
  <w:num w:numId="2" w16cid:durableId="179201090">
    <w:abstractNumId w:val="1"/>
  </w:num>
  <w:num w:numId="3" w16cid:durableId="400907937">
    <w:abstractNumId w:val="9"/>
  </w:num>
  <w:num w:numId="4" w16cid:durableId="646206892">
    <w:abstractNumId w:val="11"/>
  </w:num>
  <w:num w:numId="5" w16cid:durableId="1900510707">
    <w:abstractNumId w:val="4"/>
  </w:num>
  <w:num w:numId="6" w16cid:durableId="1446341448">
    <w:abstractNumId w:val="5"/>
  </w:num>
  <w:num w:numId="7" w16cid:durableId="1788312791">
    <w:abstractNumId w:val="10"/>
  </w:num>
  <w:num w:numId="8" w16cid:durableId="1454592881">
    <w:abstractNumId w:val="3"/>
  </w:num>
  <w:num w:numId="9" w16cid:durableId="1780685685">
    <w:abstractNumId w:val="8"/>
  </w:num>
  <w:num w:numId="10" w16cid:durableId="1089079337">
    <w:abstractNumId w:val="0"/>
  </w:num>
  <w:num w:numId="11" w16cid:durableId="399250167">
    <w:abstractNumId w:val="7"/>
  </w:num>
  <w:num w:numId="12" w16cid:durableId="14546407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B0"/>
    <w:rsid w:val="001B7CFA"/>
    <w:rsid w:val="002B554A"/>
    <w:rsid w:val="00501624"/>
    <w:rsid w:val="00565E0F"/>
    <w:rsid w:val="00582F66"/>
    <w:rsid w:val="00590E61"/>
    <w:rsid w:val="006C0DC2"/>
    <w:rsid w:val="00823FBA"/>
    <w:rsid w:val="008630CD"/>
    <w:rsid w:val="0095074C"/>
    <w:rsid w:val="00A30DEA"/>
    <w:rsid w:val="00D67A42"/>
    <w:rsid w:val="00F021B0"/>
    <w:rsid w:val="00FA6949"/>
    <w:rsid w:val="00FC2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6490"/>
  <w15:chartTrackingRefBased/>
  <w15:docId w15:val="{6150A315-1498-415C-9940-41B91FCA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1B0"/>
  </w:style>
  <w:style w:type="paragraph" w:styleId="Heading1">
    <w:name w:val="heading 1"/>
    <w:basedOn w:val="Normal"/>
    <w:next w:val="Normal"/>
    <w:link w:val="Heading1Char"/>
    <w:uiPriority w:val="9"/>
    <w:qFormat/>
    <w:rsid w:val="00F02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1B0"/>
    <w:rPr>
      <w:rFonts w:eastAsiaTheme="majorEastAsia" w:cstheme="majorBidi"/>
      <w:color w:val="272727" w:themeColor="text1" w:themeTint="D8"/>
    </w:rPr>
  </w:style>
  <w:style w:type="paragraph" w:styleId="Title">
    <w:name w:val="Title"/>
    <w:basedOn w:val="Normal"/>
    <w:next w:val="Normal"/>
    <w:link w:val="TitleChar"/>
    <w:uiPriority w:val="10"/>
    <w:qFormat/>
    <w:rsid w:val="00F02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1B0"/>
    <w:pPr>
      <w:spacing w:before="160"/>
      <w:jc w:val="center"/>
    </w:pPr>
    <w:rPr>
      <w:i/>
      <w:iCs/>
      <w:color w:val="404040" w:themeColor="text1" w:themeTint="BF"/>
    </w:rPr>
  </w:style>
  <w:style w:type="character" w:customStyle="1" w:styleId="QuoteChar">
    <w:name w:val="Quote Char"/>
    <w:basedOn w:val="DefaultParagraphFont"/>
    <w:link w:val="Quote"/>
    <w:uiPriority w:val="29"/>
    <w:rsid w:val="00F021B0"/>
    <w:rPr>
      <w:i/>
      <w:iCs/>
      <w:color w:val="404040" w:themeColor="text1" w:themeTint="BF"/>
    </w:rPr>
  </w:style>
  <w:style w:type="paragraph" w:styleId="ListParagraph">
    <w:name w:val="List Paragraph"/>
    <w:basedOn w:val="Normal"/>
    <w:uiPriority w:val="34"/>
    <w:qFormat/>
    <w:rsid w:val="00F021B0"/>
    <w:pPr>
      <w:ind w:left="720"/>
      <w:contextualSpacing/>
    </w:pPr>
  </w:style>
  <w:style w:type="character" w:styleId="IntenseEmphasis">
    <w:name w:val="Intense Emphasis"/>
    <w:basedOn w:val="DefaultParagraphFont"/>
    <w:uiPriority w:val="21"/>
    <w:qFormat/>
    <w:rsid w:val="00F021B0"/>
    <w:rPr>
      <w:i/>
      <w:iCs/>
      <w:color w:val="0F4761" w:themeColor="accent1" w:themeShade="BF"/>
    </w:rPr>
  </w:style>
  <w:style w:type="paragraph" w:styleId="IntenseQuote">
    <w:name w:val="Intense Quote"/>
    <w:basedOn w:val="Normal"/>
    <w:next w:val="Normal"/>
    <w:link w:val="IntenseQuoteChar"/>
    <w:uiPriority w:val="30"/>
    <w:qFormat/>
    <w:rsid w:val="00F02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1B0"/>
    <w:rPr>
      <w:i/>
      <w:iCs/>
      <w:color w:val="0F4761" w:themeColor="accent1" w:themeShade="BF"/>
    </w:rPr>
  </w:style>
  <w:style w:type="character" w:styleId="IntenseReference">
    <w:name w:val="Intense Reference"/>
    <w:basedOn w:val="DefaultParagraphFont"/>
    <w:uiPriority w:val="32"/>
    <w:qFormat/>
    <w:rsid w:val="00F021B0"/>
    <w:rPr>
      <w:b/>
      <w:bCs/>
      <w:smallCaps/>
      <w:color w:val="0F4761" w:themeColor="accent1" w:themeShade="BF"/>
      <w:spacing w:val="5"/>
    </w:rPr>
  </w:style>
  <w:style w:type="character" w:styleId="Hyperlink">
    <w:name w:val="Hyperlink"/>
    <w:basedOn w:val="DefaultParagraphFont"/>
    <w:uiPriority w:val="99"/>
    <w:unhideWhenUsed/>
    <w:rsid w:val="00F021B0"/>
    <w:rPr>
      <w:color w:val="467886"/>
      <w:u w:val="single"/>
    </w:rPr>
  </w:style>
  <w:style w:type="character" w:styleId="UnresolvedMention">
    <w:name w:val="Unresolved Mention"/>
    <w:basedOn w:val="DefaultParagraphFont"/>
    <w:uiPriority w:val="99"/>
    <w:semiHidden/>
    <w:unhideWhenUsed/>
    <w:rsid w:val="00565E0F"/>
    <w:rPr>
      <w:color w:val="605E5C"/>
      <w:shd w:val="clear" w:color="auto" w:fill="E1DFDD"/>
    </w:rPr>
  </w:style>
  <w:style w:type="table" w:styleId="TableGrid">
    <w:name w:val="Table Grid"/>
    <w:basedOn w:val="TableNormal"/>
    <w:uiPriority w:val="39"/>
    <w:rsid w:val="00565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chemicals" TargetMode="External"/><Relationship Id="rId13" Type="http://schemas.openxmlformats.org/officeDocument/2006/relationships/hyperlink" Target="https://www.mavenrs.com/safety-data-sheet" TargetMode="External"/><Relationship Id="rId3" Type="http://schemas.openxmlformats.org/officeDocument/2006/relationships/settings" Target="settings.xml"/><Relationship Id="rId7" Type="http://schemas.openxmlformats.org/officeDocument/2006/relationships/hyperlink" Target="Url:-" TargetMode="External"/><Relationship Id="rId12" Type="http://schemas.openxmlformats.org/officeDocument/2006/relationships/hyperlink" Target="https://www.mavenrs.com/reac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avenrs.com/blog/chemical-registration-in-malaysia-a-comprehensive-guide" TargetMode="External"/><Relationship Id="rId11" Type="http://schemas.openxmlformats.org/officeDocument/2006/relationships/hyperlink" Target="https://www.mavenrs.com/poison-center-chemical-registry" TargetMode="External"/><Relationship Id="rId5" Type="http://schemas.openxmlformats.org/officeDocument/2006/relationships/hyperlink" Target="Url:-" TargetMode="External"/><Relationship Id="rId15" Type="http://schemas.openxmlformats.org/officeDocument/2006/relationships/fontTable" Target="fontTable.xml"/><Relationship Id="rId10" Type="http://schemas.openxmlformats.org/officeDocument/2006/relationships/hyperlink" Target="https://www.mavenrs.com/chemicals" TargetMode="External"/><Relationship Id="rId4" Type="http://schemas.openxmlformats.org/officeDocument/2006/relationships/webSettings" Target="webSettings.xml"/><Relationship Id="rId9" Type="http://schemas.openxmlformats.org/officeDocument/2006/relationships/hyperlink" Target="https://www.mavenrs.com/regulatory-compliance" TargetMode="External"/><Relationship Id="rId14" Type="http://schemas.openxmlformats.org/officeDocument/2006/relationships/hyperlink" Target="https://www.mavenrs.com/regulatory-aff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951</Words>
  <Characters>7108</Characters>
  <Application>Microsoft Office Word</Application>
  <DocSecurity>0</DocSecurity>
  <Lines>203</Lines>
  <Paragraphs>187</Paragraphs>
  <ScaleCrop>false</ScaleCrop>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6</cp:revision>
  <dcterms:created xsi:type="dcterms:W3CDTF">2026-04-06T09:14:00Z</dcterms:created>
  <dcterms:modified xsi:type="dcterms:W3CDTF">2026-04-10T09:18:00Z</dcterms:modified>
</cp:coreProperties>
</file>