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C5B5" w14:textId="4627CF84" w:rsidR="00DB73CE" w:rsidRPr="00DB5440" w:rsidRDefault="00A1567C" w:rsidP="00DB73CE">
      <w:r w:rsidRPr="00DB5440">
        <w:t>Category: -</w:t>
      </w:r>
      <w:r w:rsidR="00DB73CE" w:rsidRPr="00DB5440">
        <w:t xml:space="preserve"> Chemicals</w:t>
      </w:r>
      <w:r w:rsidR="00DB73CE" w:rsidRPr="00DB5440">
        <w:tab/>
      </w:r>
    </w:p>
    <w:p w14:paraId="44041381" w14:textId="4A935873" w:rsidR="00DB73CE" w:rsidRPr="00DB5440" w:rsidRDefault="00DB73CE" w:rsidP="00DB73CE">
      <w:r w:rsidRPr="00DB5440">
        <w:t xml:space="preserve">Old URL- </w:t>
      </w:r>
      <w:hyperlink r:id="rId5" w:history="1">
        <w:r w:rsidRPr="00DB5440">
          <w:rPr>
            <w:rStyle w:val="Hyperlink"/>
          </w:rPr>
          <w:t>https://www.mavenrs.com/blog/understanding-the-fdas-channels-of-trade-provision-guidance-on-methyl-parathion-residues-safety-assessments-and-regulatory-compliance</w:t>
        </w:r>
      </w:hyperlink>
    </w:p>
    <w:p w14:paraId="402120C4" w14:textId="1BD67335" w:rsidR="00A1567C" w:rsidRPr="00DB5440" w:rsidRDefault="00DB5440" w:rsidP="00A1567C">
      <w:r w:rsidRPr="00DB5440">
        <w:rPr>
          <w:rFonts w:cs="Segoe UI Emoji"/>
          <w:b/>
          <w:bCs/>
        </w:rPr>
        <w:t xml:space="preserve"> New </w:t>
      </w:r>
      <w:hyperlink r:id="rId6" w:history="1">
        <w:r w:rsidRPr="00DB5440">
          <w:rPr>
            <w:rStyle w:val="Hyperlink"/>
            <w:rFonts w:cs="Segoe UI Emoji"/>
            <w:b/>
            <w:bCs/>
          </w:rPr>
          <w:t>Url:-</w:t>
        </w:r>
      </w:hyperlink>
      <w:r w:rsidRPr="00DB5440">
        <w:rPr>
          <w:rFonts w:cs="Segoe UI Emoji"/>
          <w:b/>
          <w:bCs/>
        </w:rPr>
        <w:t xml:space="preserve"> </w:t>
      </w:r>
      <w:r w:rsidR="00A1567C" w:rsidRPr="00DB5440">
        <w:rPr>
          <w:b/>
          <w:bCs/>
        </w:rPr>
        <w:t>/fda-channels-of-trade-methyl-parathion-residues-compliance-guide</w:t>
      </w:r>
    </w:p>
    <w:p w14:paraId="64D7BAF7" w14:textId="3150DEA7" w:rsidR="00A1567C" w:rsidRPr="008C024C" w:rsidRDefault="00A1567C" w:rsidP="008C024C">
      <w:pPr>
        <w:pStyle w:val="Heading1"/>
      </w:pPr>
      <w:r w:rsidRPr="008C024C">
        <w:t xml:space="preserve">Understanding The FDA’s Channels </w:t>
      </w:r>
      <w:r w:rsidR="00DB5440" w:rsidRPr="008C024C">
        <w:t>of</w:t>
      </w:r>
      <w:r w:rsidRPr="008C024C">
        <w:t xml:space="preserve"> Trade Provision: Methyl Parathion Residues, Safety Assessments, And Regulatory Compliance</w:t>
      </w:r>
    </w:p>
    <w:p w14:paraId="76B5D9DA" w14:textId="15ADF348" w:rsidR="00A1567C" w:rsidRPr="007B57BE" w:rsidRDefault="00A1567C" w:rsidP="00A1567C">
      <w:r w:rsidRPr="007B57BE">
        <w:t xml:space="preserve">The </w:t>
      </w:r>
      <w:r w:rsidRPr="007B57BE">
        <w:rPr>
          <w:b/>
          <w:bCs/>
        </w:rPr>
        <w:t>U.S. Food and Drug Administration (FDA)</w:t>
      </w:r>
      <w:r w:rsidRPr="007B57BE">
        <w:t xml:space="preserve"> </w:t>
      </w:r>
      <w:r w:rsidR="00DB5440" w:rsidRPr="007B57BE">
        <w:t>play</w:t>
      </w:r>
      <w:r w:rsidRPr="007B57BE">
        <w:t xml:space="preserve"> a critical role in safeguarding food safety by regulating </w:t>
      </w:r>
      <w:r w:rsidRPr="007B57BE">
        <w:rPr>
          <w:b/>
          <w:bCs/>
        </w:rPr>
        <w:t>pesticide residues in food products</w:t>
      </w:r>
      <w:r w:rsidRPr="007B57BE">
        <w:t xml:space="preserve">. One of its key </w:t>
      </w:r>
      <w:hyperlink r:id="rId7" w:history="1">
        <w:r w:rsidRPr="007B57BE">
          <w:rPr>
            <w:rStyle w:val="Hyperlink"/>
            <w:u w:val="none"/>
          </w:rPr>
          <w:t>regulatory</w:t>
        </w:r>
      </w:hyperlink>
      <w:r w:rsidRPr="007B57BE">
        <w:t xml:space="preserve"> mechanisms is the </w:t>
      </w:r>
      <w:r w:rsidRPr="007B57BE">
        <w:rPr>
          <w:b/>
          <w:bCs/>
        </w:rPr>
        <w:t>Channels of Trade provision</w:t>
      </w:r>
      <w:r w:rsidRPr="007B57BE">
        <w:t xml:space="preserve">, outlined under </w:t>
      </w:r>
      <w:r w:rsidRPr="007B57BE">
        <w:rPr>
          <w:b/>
          <w:bCs/>
        </w:rPr>
        <w:t xml:space="preserve">Section 408(l)(5) of the Federal Food, Drug, and </w:t>
      </w:r>
      <w:hyperlink r:id="rId8" w:history="1">
        <w:r w:rsidRPr="007B57BE">
          <w:rPr>
            <w:rStyle w:val="Hyperlink"/>
            <w:b/>
            <w:bCs/>
            <w:u w:val="none"/>
          </w:rPr>
          <w:t>Cosmetic</w:t>
        </w:r>
      </w:hyperlink>
      <w:r w:rsidRPr="007B57BE">
        <w:rPr>
          <w:b/>
          <w:bCs/>
        </w:rPr>
        <w:t xml:space="preserve"> Act (FFDCA)</w:t>
      </w:r>
      <w:r w:rsidRPr="007B57BE">
        <w:t>.</w:t>
      </w:r>
    </w:p>
    <w:p w14:paraId="27F0DAE7" w14:textId="77777777" w:rsidR="00DB5440" w:rsidRPr="007B57BE" w:rsidRDefault="00DB5440" w:rsidP="00DB5440">
      <w:r w:rsidRPr="007B57BE">
        <w:rPr>
          <w:b/>
          <w:bCs/>
        </w:rPr>
        <w:t xml:space="preserve">The FDA’s Channels of </w:t>
      </w:r>
      <w:r w:rsidRPr="007B57BE">
        <w:t>Trade provision allows food products containing pesticide residues to remain in commerce if the residues were legally applied before tolerance changes, provided manufacturers demonstrate</w:t>
      </w:r>
      <w:r w:rsidRPr="007B57BE">
        <w:rPr>
          <w:b/>
          <w:bCs/>
        </w:rPr>
        <w:t xml:space="preserve"> compliance with historical regulations and safety standards.</w:t>
      </w:r>
    </w:p>
    <w:p w14:paraId="397385A5" w14:textId="77777777" w:rsidR="00A1567C" w:rsidRPr="007B57BE" w:rsidRDefault="00A1567C" w:rsidP="00A1567C">
      <w:r w:rsidRPr="007B57BE">
        <w:t xml:space="preserve">This provision becomes particularly significant when the </w:t>
      </w:r>
      <w:r w:rsidRPr="007B57BE">
        <w:rPr>
          <w:b/>
          <w:bCs/>
        </w:rPr>
        <w:t>Environmental Protection Agency (EPA)</w:t>
      </w:r>
      <w:r w:rsidRPr="007B57BE">
        <w:t xml:space="preserve"> modifies, suspends, or revokes pesticide tolerances. It ensures that food products treated under </w:t>
      </w:r>
      <w:r w:rsidRPr="007B57BE">
        <w:rPr>
          <w:b/>
          <w:bCs/>
        </w:rPr>
        <w:t>previously lawful conditions</w:t>
      </w:r>
      <w:r w:rsidRPr="007B57BE">
        <w:t xml:space="preserve"> are not automatically deemed unsafe due to regulatory changes.</w:t>
      </w:r>
    </w:p>
    <w:p w14:paraId="1FDAD1C0" w14:textId="4E821703" w:rsidR="00A1567C" w:rsidRPr="007B57BE" w:rsidRDefault="00A1567C" w:rsidP="00A1567C">
      <w:r w:rsidRPr="007B57BE">
        <w:t xml:space="preserve">For stakeholders managing </w:t>
      </w:r>
      <w:r w:rsidRPr="007B57BE">
        <w:rPr>
          <w:b/>
          <w:bCs/>
        </w:rPr>
        <w:t>methyl parathion residues</w:t>
      </w:r>
      <w:r w:rsidRPr="007B57BE">
        <w:t xml:space="preserve">, understanding this provision is essential for </w:t>
      </w:r>
      <w:hyperlink r:id="rId9" w:history="1">
        <w:r w:rsidRPr="007B57BE">
          <w:rPr>
            <w:rStyle w:val="Hyperlink"/>
            <w:b/>
            <w:bCs/>
            <w:u w:val="none"/>
          </w:rPr>
          <w:t>regulatory compliance,</w:t>
        </w:r>
      </w:hyperlink>
      <w:r w:rsidRPr="007B57BE">
        <w:rPr>
          <w:b/>
          <w:bCs/>
        </w:rPr>
        <w:t xml:space="preserve"> toxicological safety evaluation, and uninterrupted market access</w:t>
      </w:r>
      <w:r w:rsidRPr="007B57BE">
        <w:t>.</w:t>
      </w:r>
    </w:p>
    <w:p w14:paraId="28AD7F2E" w14:textId="77777777" w:rsidR="00A1567C" w:rsidRPr="00DB5440" w:rsidRDefault="00A1567C" w:rsidP="00A1567C">
      <w:r w:rsidRPr="00DB5440">
        <w:t xml:space="preserve">This 2026 guide by </w:t>
      </w:r>
      <w:r w:rsidRPr="00DB5440">
        <w:rPr>
          <w:b/>
          <w:bCs/>
        </w:rPr>
        <w:t>Maven Regulatory Solutions</w:t>
      </w:r>
      <w:r w:rsidRPr="00DB5440">
        <w:t xml:space="preserve"> provides a detailed roadmap for navigating </w:t>
      </w:r>
      <w:r w:rsidRPr="00DB5440">
        <w:rPr>
          <w:b/>
          <w:bCs/>
        </w:rPr>
        <w:t>FDA compliance, pesticide residue risk assessment, and global regulatory expectations</w:t>
      </w:r>
      <w:r w:rsidRPr="00DB5440">
        <w:t>.</w:t>
      </w:r>
    </w:p>
    <w:p w14:paraId="23506001" w14:textId="13C97DDD" w:rsidR="00A1567C" w:rsidRPr="00DB5440" w:rsidRDefault="00A1567C" w:rsidP="00DB5440">
      <w:pPr>
        <w:pStyle w:val="Heading2"/>
      </w:pPr>
      <w:r w:rsidRPr="00DB5440">
        <w:t xml:space="preserve">What </w:t>
      </w:r>
      <w:r w:rsidR="00DB5440" w:rsidRPr="00DB5440">
        <w:t>Are</w:t>
      </w:r>
      <w:r w:rsidRPr="00DB5440">
        <w:t xml:space="preserve"> </w:t>
      </w:r>
      <w:r w:rsidR="00DB5440" w:rsidRPr="00DB5440">
        <w:t>the</w:t>
      </w:r>
      <w:r w:rsidRPr="00DB5440">
        <w:t xml:space="preserve"> Channels </w:t>
      </w:r>
      <w:r w:rsidR="00DB5440">
        <w:t>o</w:t>
      </w:r>
      <w:r w:rsidRPr="00DB5440">
        <w:t>f Trade Provision?</w:t>
      </w:r>
    </w:p>
    <w:p w14:paraId="5D7FDE41" w14:textId="77777777" w:rsidR="00A1567C" w:rsidRPr="00DB5440" w:rsidRDefault="00A1567C" w:rsidP="00A1567C">
      <w:r w:rsidRPr="00DB5440">
        <w:t xml:space="preserve">The Channels of Trade provision provides a </w:t>
      </w:r>
      <w:r w:rsidRPr="00DB5440">
        <w:rPr>
          <w:b/>
          <w:bCs/>
        </w:rPr>
        <w:t>regulatory exemption</w:t>
      </w:r>
      <w:r w:rsidRPr="00DB5440">
        <w:t xml:space="preserve"> allowing certain food products to remain in the market even when pesticide tolerances change.</w:t>
      </w:r>
    </w:p>
    <w:p w14:paraId="0D7E3FEE" w14:textId="77777777" w:rsidR="00A1567C" w:rsidRPr="00DB5440" w:rsidRDefault="00A1567C" w:rsidP="00A1567C">
      <w:pPr>
        <w:rPr>
          <w:b/>
          <w:bCs/>
        </w:rPr>
      </w:pPr>
      <w:r w:rsidRPr="00DB5440">
        <w:rPr>
          <w:b/>
          <w:bCs/>
        </w:rPr>
        <w:lastRenderedPageBreak/>
        <w:t>Key Principle:</w:t>
      </w:r>
    </w:p>
    <w:p w14:paraId="3F67388C" w14:textId="77777777" w:rsidR="00A1567C" w:rsidRPr="00DB5440" w:rsidRDefault="00A1567C" w:rsidP="00A1567C">
      <w:r w:rsidRPr="00DB5440">
        <w:t>Food is not considered adulterated if:</w:t>
      </w:r>
    </w:p>
    <w:p w14:paraId="75F11757" w14:textId="77777777" w:rsidR="00A1567C" w:rsidRPr="00DB5440" w:rsidRDefault="00A1567C" w:rsidP="00A1567C">
      <w:pPr>
        <w:numPr>
          <w:ilvl w:val="0"/>
          <w:numId w:val="1"/>
        </w:numPr>
      </w:pPr>
      <w:r w:rsidRPr="00DB5440">
        <w:t xml:space="preserve">The pesticide was applied </w:t>
      </w:r>
      <w:r w:rsidRPr="00DB5440">
        <w:rPr>
          <w:b/>
          <w:bCs/>
        </w:rPr>
        <w:t>legally at the time of use</w:t>
      </w:r>
      <w:r w:rsidRPr="00DB5440">
        <w:t xml:space="preserve"> </w:t>
      </w:r>
    </w:p>
    <w:p w14:paraId="3D19658F" w14:textId="77777777" w:rsidR="00A1567C" w:rsidRPr="00DB5440" w:rsidRDefault="00A1567C" w:rsidP="00A1567C">
      <w:pPr>
        <w:numPr>
          <w:ilvl w:val="0"/>
          <w:numId w:val="1"/>
        </w:numPr>
      </w:pPr>
      <w:r w:rsidRPr="00DB5440">
        <w:t xml:space="preserve">Residue levels comply with </w:t>
      </w:r>
      <w:r w:rsidRPr="00DB5440">
        <w:rPr>
          <w:b/>
          <w:bCs/>
        </w:rPr>
        <w:t>historical tolerance limits</w:t>
      </w:r>
      <w:r w:rsidRPr="00DB5440">
        <w:t xml:space="preserve"> </w:t>
      </w:r>
    </w:p>
    <w:p w14:paraId="1E65892E" w14:textId="77777777" w:rsidR="00A1567C" w:rsidRPr="00DB5440" w:rsidRDefault="00A1567C" w:rsidP="00A1567C">
      <w:pPr>
        <w:rPr>
          <w:b/>
          <w:bCs/>
        </w:rPr>
      </w:pPr>
      <w:r w:rsidRPr="00DB5440">
        <w:rPr>
          <w:b/>
          <w:bCs/>
        </w:rPr>
        <w:t>Why It Matters</w:t>
      </w:r>
    </w:p>
    <w:p w14:paraId="384C7790" w14:textId="77777777" w:rsidR="00A1567C" w:rsidRPr="00DB5440" w:rsidRDefault="00A1567C" w:rsidP="00A1567C">
      <w:pPr>
        <w:numPr>
          <w:ilvl w:val="0"/>
          <w:numId w:val="2"/>
        </w:numPr>
      </w:pPr>
      <w:r w:rsidRPr="00DB5440">
        <w:t xml:space="preserve">Prevents unnecessary </w:t>
      </w:r>
      <w:r w:rsidRPr="00DB5440">
        <w:rPr>
          <w:b/>
          <w:bCs/>
        </w:rPr>
        <w:t>food waste and economic loss</w:t>
      </w:r>
      <w:r w:rsidRPr="00DB5440">
        <w:t xml:space="preserve"> </w:t>
      </w:r>
    </w:p>
    <w:p w14:paraId="68939E96" w14:textId="77777777" w:rsidR="00A1567C" w:rsidRPr="00DB5440" w:rsidRDefault="00A1567C" w:rsidP="00A1567C">
      <w:pPr>
        <w:numPr>
          <w:ilvl w:val="0"/>
          <w:numId w:val="2"/>
        </w:numPr>
      </w:pPr>
      <w:r w:rsidRPr="00DB5440">
        <w:t xml:space="preserve">Supports </w:t>
      </w:r>
      <w:r w:rsidRPr="00DB5440">
        <w:rPr>
          <w:b/>
          <w:bCs/>
        </w:rPr>
        <w:t>supply chain continuity</w:t>
      </w:r>
      <w:r w:rsidRPr="00DB5440">
        <w:t xml:space="preserve"> </w:t>
      </w:r>
    </w:p>
    <w:p w14:paraId="0237C114" w14:textId="77777777" w:rsidR="00A1567C" w:rsidRPr="00DB5440" w:rsidRDefault="00A1567C" w:rsidP="00A1567C">
      <w:pPr>
        <w:numPr>
          <w:ilvl w:val="0"/>
          <w:numId w:val="2"/>
        </w:numPr>
      </w:pPr>
      <w:r w:rsidRPr="00DB5440">
        <w:t xml:space="preserve">Ensures </w:t>
      </w:r>
      <w:r w:rsidRPr="00DB5440">
        <w:rPr>
          <w:b/>
          <w:bCs/>
        </w:rPr>
        <w:t>regulatory fairness for manufacturers</w:t>
      </w:r>
      <w:r w:rsidRPr="00DB5440">
        <w:t xml:space="preserve"> </w:t>
      </w:r>
    </w:p>
    <w:p w14:paraId="2B52D4C7" w14:textId="77777777" w:rsidR="00A1567C" w:rsidRPr="00DB5440" w:rsidRDefault="00A1567C" w:rsidP="00DB5440">
      <w:pPr>
        <w:pStyle w:val="Heading2"/>
      </w:pPr>
      <w:r w:rsidRPr="00DB5440">
        <w:t>Regulatory Framework Governing Pesticide Residues</w:t>
      </w:r>
    </w:p>
    <w:tbl>
      <w:tblPr>
        <w:tblStyle w:val="TableGrid"/>
        <w:tblW w:w="0" w:type="auto"/>
        <w:tblLook w:val="04A0" w:firstRow="1" w:lastRow="0" w:firstColumn="1" w:lastColumn="0" w:noHBand="0" w:noVBand="1"/>
      </w:tblPr>
      <w:tblGrid>
        <w:gridCol w:w="3679"/>
        <w:gridCol w:w="4088"/>
      </w:tblGrid>
      <w:tr w:rsidR="00A1567C" w:rsidRPr="00DB5440" w14:paraId="44F463B6" w14:textId="77777777" w:rsidTr="00DB5440">
        <w:tc>
          <w:tcPr>
            <w:tcW w:w="0" w:type="auto"/>
            <w:shd w:val="clear" w:color="auto" w:fill="A5C9EB" w:themeFill="text2" w:themeFillTint="40"/>
            <w:hideMark/>
          </w:tcPr>
          <w:p w14:paraId="23B99084" w14:textId="77777777" w:rsidR="00A1567C" w:rsidRPr="00DB5440" w:rsidRDefault="00A1567C" w:rsidP="00A1567C">
            <w:pPr>
              <w:rPr>
                <w:b/>
                <w:bCs/>
              </w:rPr>
            </w:pPr>
            <w:r w:rsidRPr="00DB5440">
              <w:rPr>
                <w:b/>
                <w:bCs/>
              </w:rPr>
              <w:t>Regulation / Authority</w:t>
            </w:r>
          </w:p>
        </w:tc>
        <w:tc>
          <w:tcPr>
            <w:tcW w:w="0" w:type="auto"/>
            <w:shd w:val="clear" w:color="auto" w:fill="A5C9EB" w:themeFill="text2" w:themeFillTint="40"/>
            <w:hideMark/>
          </w:tcPr>
          <w:p w14:paraId="20E9D09A" w14:textId="77777777" w:rsidR="00A1567C" w:rsidRPr="00DB5440" w:rsidRDefault="00A1567C" w:rsidP="00A1567C">
            <w:pPr>
              <w:rPr>
                <w:b/>
                <w:bCs/>
              </w:rPr>
            </w:pPr>
            <w:r w:rsidRPr="00DB5440">
              <w:rPr>
                <w:b/>
                <w:bCs/>
              </w:rPr>
              <w:t>Role</w:t>
            </w:r>
          </w:p>
        </w:tc>
      </w:tr>
      <w:tr w:rsidR="00A1567C" w:rsidRPr="00DB5440" w14:paraId="4E26B20A" w14:textId="77777777" w:rsidTr="00DB5440">
        <w:tc>
          <w:tcPr>
            <w:tcW w:w="0" w:type="auto"/>
            <w:hideMark/>
          </w:tcPr>
          <w:p w14:paraId="6EA206B2" w14:textId="77777777" w:rsidR="00A1567C" w:rsidRPr="00DB5440" w:rsidRDefault="00A1567C" w:rsidP="00A1567C">
            <w:r w:rsidRPr="00DB5440">
              <w:t>FDA (FFDCA Section 408)</w:t>
            </w:r>
          </w:p>
        </w:tc>
        <w:tc>
          <w:tcPr>
            <w:tcW w:w="0" w:type="auto"/>
            <w:hideMark/>
          </w:tcPr>
          <w:p w14:paraId="58E7C2BD" w14:textId="77777777" w:rsidR="00A1567C" w:rsidRPr="00DB5440" w:rsidRDefault="00A1567C" w:rsidP="00A1567C">
            <w:r w:rsidRPr="00DB5440">
              <w:t>Enforcement of food safety standards</w:t>
            </w:r>
          </w:p>
        </w:tc>
      </w:tr>
      <w:tr w:rsidR="00A1567C" w:rsidRPr="00DB5440" w14:paraId="466ABB53" w14:textId="77777777" w:rsidTr="00DB5440">
        <w:tc>
          <w:tcPr>
            <w:tcW w:w="0" w:type="auto"/>
            <w:hideMark/>
          </w:tcPr>
          <w:p w14:paraId="3D88FA42" w14:textId="77777777" w:rsidR="00A1567C" w:rsidRPr="00DB5440" w:rsidRDefault="00A1567C" w:rsidP="00A1567C">
            <w:r w:rsidRPr="00DB5440">
              <w:t>EPA (FIFRA)</w:t>
            </w:r>
          </w:p>
        </w:tc>
        <w:tc>
          <w:tcPr>
            <w:tcW w:w="0" w:type="auto"/>
            <w:hideMark/>
          </w:tcPr>
          <w:p w14:paraId="4AF57A89" w14:textId="77777777" w:rsidR="00A1567C" w:rsidRPr="00DB5440" w:rsidRDefault="00A1567C" w:rsidP="00A1567C">
            <w:r w:rsidRPr="00DB5440">
              <w:t>Establishes pesticide tolerances</w:t>
            </w:r>
          </w:p>
        </w:tc>
      </w:tr>
      <w:tr w:rsidR="00A1567C" w:rsidRPr="00DB5440" w14:paraId="3FDCE288" w14:textId="77777777" w:rsidTr="00DB5440">
        <w:tc>
          <w:tcPr>
            <w:tcW w:w="0" w:type="auto"/>
            <w:hideMark/>
          </w:tcPr>
          <w:p w14:paraId="07A14C07" w14:textId="77777777" w:rsidR="00A1567C" w:rsidRPr="00DB5440" w:rsidRDefault="00A1567C" w:rsidP="00A1567C">
            <w:r w:rsidRPr="00DB5440">
              <w:t>Codex Alimentarius</w:t>
            </w:r>
          </w:p>
        </w:tc>
        <w:tc>
          <w:tcPr>
            <w:tcW w:w="0" w:type="auto"/>
            <w:hideMark/>
          </w:tcPr>
          <w:p w14:paraId="51EE5919" w14:textId="77777777" w:rsidR="00A1567C" w:rsidRPr="00DB5440" w:rsidRDefault="00A1567C" w:rsidP="00A1567C">
            <w:r w:rsidRPr="00DB5440">
              <w:t>International residue standards</w:t>
            </w:r>
          </w:p>
        </w:tc>
      </w:tr>
      <w:tr w:rsidR="00A1567C" w:rsidRPr="00DB5440" w14:paraId="6392A263" w14:textId="77777777" w:rsidTr="00DB5440">
        <w:tc>
          <w:tcPr>
            <w:tcW w:w="0" w:type="auto"/>
            <w:hideMark/>
          </w:tcPr>
          <w:p w14:paraId="17EB5C11" w14:textId="77777777" w:rsidR="00A1567C" w:rsidRPr="00DB5440" w:rsidRDefault="00A1567C" w:rsidP="00A1567C">
            <w:r w:rsidRPr="00DB5440">
              <w:t>Good Agricultural Practices (GAP)</w:t>
            </w:r>
          </w:p>
        </w:tc>
        <w:tc>
          <w:tcPr>
            <w:tcW w:w="0" w:type="auto"/>
            <w:hideMark/>
          </w:tcPr>
          <w:p w14:paraId="3B37B7CA" w14:textId="77777777" w:rsidR="00A1567C" w:rsidRPr="00DB5440" w:rsidRDefault="00A1567C" w:rsidP="00A1567C">
            <w:r w:rsidRPr="00DB5440">
              <w:t>Safe pesticide application</w:t>
            </w:r>
          </w:p>
        </w:tc>
      </w:tr>
    </w:tbl>
    <w:p w14:paraId="614DCEB5" w14:textId="3F5E9D9A" w:rsidR="00A1567C" w:rsidRPr="00DB5440" w:rsidRDefault="00A1567C" w:rsidP="00DB5440">
      <w:pPr>
        <w:pStyle w:val="Heading2"/>
      </w:pPr>
      <w:r w:rsidRPr="00DB5440">
        <w:t xml:space="preserve">Methyl Parathion: Regulatory Context </w:t>
      </w:r>
      <w:r w:rsidR="00DB5440" w:rsidRPr="00DB5440">
        <w:t>and</w:t>
      </w:r>
      <w:r w:rsidRPr="00DB5440">
        <w:t xml:space="preserve"> Compliance</w:t>
      </w:r>
    </w:p>
    <w:p w14:paraId="00FFECD2" w14:textId="77777777" w:rsidR="00A1567C" w:rsidRPr="00DB5440" w:rsidRDefault="00A1567C" w:rsidP="00A1567C">
      <w:r w:rsidRPr="00DB5440">
        <w:t xml:space="preserve">Methyl parathion is an </w:t>
      </w:r>
      <w:r w:rsidRPr="00DB5440">
        <w:rPr>
          <w:b/>
          <w:bCs/>
        </w:rPr>
        <w:t>organophosphate pesticide</w:t>
      </w:r>
      <w:r w:rsidRPr="00DB5440">
        <w:t xml:space="preserve"> with restricted or canceled uses due to safety concerns.</w:t>
      </w:r>
    </w:p>
    <w:p w14:paraId="752CD973" w14:textId="77777777" w:rsidR="00A1567C" w:rsidRPr="00DB5440" w:rsidRDefault="00A1567C" w:rsidP="00A1567C">
      <w:pPr>
        <w:rPr>
          <w:b/>
          <w:bCs/>
        </w:rPr>
      </w:pPr>
      <w:r w:rsidRPr="00DB5440">
        <w:rPr>
          <w:b/>
          <w:bCs/>
        </w:rPr>
        <w:t>Key Regulatory Considerations:</w:t>
      </w:r>
    </w:p>
    <w:p w14:paraId="549F1494" w14:textId="77777777" w:rsidR="00A1567C" w:rsidRPr="00DB5440" w:rsidRDefault="00A1567C" w:rsidP="00A1567C">
      <w:pPr>
        <w:numPr>
          <w:ilvl w:val="0"/>
          <w:numId w:val="3"/>
        </w:numPr>
      </w:pPr>
      <w:r w:rsidRPr="00DB5440">
        <w:t xml:space="preserve">Revoked or modified EPA tolerances </w:t>
      </w:r>
    </w:p>
    <w:p w14:paraId="75E54442" w14:textId="77777777" w:rsidR="00A1567C" w:rsidRPr="00DB5440" w:rsidRDefault="00A1567C" w:rsidP="00A1567C">
      <w:pPr>
        <w:numPr>
          <w:ilvl w:val="0"/>
          <w:numId w:val="3"/>
        </w:numPr>
      </w:pPr>
      <w:r w:rsidRPr="00DB5440">
        <w:t xml:space="preserve">Strict FDA enforcement guidance </w:t>
      </w:r>
    </w:p>
    <w:p w14:paraId="777897A7" w14:textId="0612C979" w:rsidR="00A1567C" w:rsidRPr="00DB5440" w:rsidRDefault="00A1567C" w:rsidP="00A1567C">
      <w:pPr>
        <w:numPr>
          <w:ilvl w:val="0"/>
          <w:numId w:val="3"/>
        </w:numPr>
      </w:pPr>
      <w:r w:rsidRPr="00DB5440">
        <w:t xml:space="preserve">Increased scrutiny </w:t>
      </w:r>
      <w:r w:rsidR="00DB5440" w:rsidRPr="00DB5440">
        <w:t>of</w:t>
      </w:r>
      <w:r w:rsidRPr="00DB5440">
        <w:t xml:space="preserve"> residue levels </w:t>
      </w:r>
    </w:p>
    <w:p w14:paraId="184319D6" w14:textId="21339B98" w:rsidR="00A1567C" w:rsidRPr="00DB5440" w:rsidRDefault="00A1567C" w:rsidP="00DB5440">
      <w:pPr>
        <w:pStyle w:val="Heading2"/>
      </w:pPr>
      <w:r w:rsidRPr="00DB5440">
        <w:t xml:space="preserve">FDA Guidance </w:t>
      </w:r>
      <w:r w:rsidR="00DB5440" w:rsidRPr="00DB5440">
        <w:t>on</w:t>
      </w:r>
      <w:r w:rsidRPr="00DB5440">
        <w:t xml:space="preserve"> Methyl Parathion Residues</w:t>
      </w:r>
    </w:p>
    <w:p w14:paraId="6142D2F3" w14:textId="77777777" w:rsidR="00A1567C" w:rsidRPr="00DB5440" w:rsidRDefault="00A1567C" w:rsidP="00A1567C">
      <w:pPr>
        <w:rPr>
          <w:b/>
          <w:bCs/>
        </w:rPr>
      </w:pPr>
      <w:r w:rsidRPr="00DB5440">
        <w:rPr>
          <w:b/>
          <w:bCs/>
        </w:rPr>
        <w:t>Core Compliance Requirements</w:t>
      </w:r>
    </w:p>
    <w:tbl>
      <w:tblPr>
        <w:tblStyle w:val="TableGrid"/>
        <w:tblW w:w="0" w:type="auto"/>
        <w:tblLook w:val="04A0" w:firstRow="1" w:lastRow="0" w:firstColumn="1" w:lastColumn="0" w:noHBand="0" w:noVBand="1"/>
      </w:tblPr>
      <w:tblGrid>
        <w:gridCol w:w="2346"/>
        <w:gridCol w:w="4452"/>
      </w:tblGrid>
      <w:tr w:rsidR="00A1567C" w:rsidRPr="00DB5440" w14:paraId="3334DB07" w14:textId="77777777" w:rsidTr="00DB5440">
        <w:tc>
          <w:tcPr>
            <w:tcW w:w="0" w:type="auto"/>
            <w:shd w:val="clear" w:color="auto" w:fill="A5C9EB" w:themeFill="text2" w:themeFillTint="40"/>
            <w:hideMark/>
          </w:tcPr>
          <w:p w14:paraId="5BA3948F" w14:textId="77777777" w:rsidR="00A1567C" w:rsidRPr="00DB5440" w:rsidRDefault="00A1567C" w:rsidP="00A1567C">
            <w:pPr>
              <w:rPr>
                <w:b/>
                <w:bCs/>
              </w:rPr>
            </w:pPr>
            <w:r w:rsidRPr="00DB5440">
              <w:rPr>
                <w:b/>
                <w:bCs/>
              </w:rPr>
              <w:t>Requirement</w:t>
            </w:r>
          </w:p>
        </w:tc>
        <w:tc>
          <w:tcPr>
            <w:tcW w:w="0" w:type="auto"/>
            <w:shd w:val="clear" w:color="auto" w:fill="A5C9EB" w:themeFill="text2" w:themeFillTint="40"/>
            <w:hideMark/>
          </w:tcPr>
          <w:p w14:paraId="2D871B73" w14:textId="77777777" w:rsidR="00A1567C" w:rsidRPr="00DB5440" w:rsidRDefault="00A1567C" w:rsidP="00A1567C">
            <w:pPr>
              <w:rPr>
                <w:b/>
                <w:bCs/>
              </w:rPr>
            </w:pPr>
            <w:r w:rsidRPr="00DB5440">
              <w:rPr>
                <w:b/>
                <w:bCs/>
              </w:rPr>
              <w:t>Description</w:t>
            </w:r>
          </w:p>
        </w:tc>
      </w:tr>
      <w:tr w:rsidR="00A1567C" w:rsidRPr="00DB5440" w14:paraId="58E308BB" w14:textId="77777777" w:rsidTr="00DB5440">
        <w:tc>
          <w:tcPr>
            <w:tcW w:w="0" w:type="auto"/>
            <w:hideMark/>
          </w:tcPr>
          <w:p w14:paraId="0DC363A1" w14:textId="77777777" w:rsidR="00A1567C" w:rsidRPr="00DB5440" w:rsidRDefault="00A1567C" w:rsidP="00A1567C">
            <w:r w:rsidRPr="00DB5440">
              <w:t>Lawful Application</w:t>
            </w:r>
          </w:p>
        </w:tc>
        <w:tc>
          <w:tcPr>
            <w:tcW w:w="0" w:type="auto"/>
            <w:hideMark/>
          </w:tcPr>
          <w:p w14:paraId="1BD1C0ED" w14:textId="77777777" w:rsidR="00A1567C" w:rsidRPr="00DB5440" w:rsidRDefault="00A1567C" w:rsidP="00A1567C">
            <w:r w:rsidRPr="00DB5440">
              <w:t>Must comply with FIFRA at time of use</w:t>
            </w:r>
          </w:p>
        </w:tc>
      </w:tr>
      <w:tr w:rsidR="00A1567C" w:rsidRPr="00DB5440" w14:paraId="4973A7E8" w14:textId="77777777" w:rsidTr="00DB5440">
        <w:tc>
          <w:tcPr>
            <w:tcW w:w="0" w:type="auto"/>
            <w:hideMark/>
          </w:tcPr>
          <w:p w14:paraId="18D2D676" w14:textId="77777777" w:rsidR="00A1567C" w:rsidRPr="00DB5440" w:rsidRDefault="00A1567C" w:rsidP="00A1567C">
            <w:r w:rsidRPr="00DB5440">
              <w:t>Residue Limits</w:t>
            </w:r>
          </w:p>
        </w:tc>
        <w:tc>
          <w:tcPr>
            <w:tcW w:w="0" w:type="auto"/>
            <w:hideMark/>
          </w:tcPr>
          <w:p w14:paraId="6B7A2F40" w14:textId="77777777" w:rsidR="00A1567C" w:rsidRPr="00DB5440" w:rsidRDefault="00A1567C" w:rsidP="00A1567C">
            <w:r w:rsidRPr="00DB5440">
              <w:t>Must meet historical tolerance levels</w:t>
            </w:r>
          </w:p>
        </w:tc>
      </w:tr>
      <w:tr w:rsidR="00A1567C" w:rsidRPr="00DB5440" w14:paraId="0E59F2DE" w14:textId="77777777" w:rsidTr="00DB5440">
        <w:tc>
          <w:tcPr>
            <w:tcW w:w="0" w:type="auto"/>
            <w:hideMark/>
          </w:tcPr>
          <w:p w14:paraId="74FD3A48" w14:textId="77777777" w:rsidR="00A1567C" w:rsidRPr="00DB5440" w:rsidRDefault="00A1567C" w:rsidP="00A1567C">
            <w:r w:rsidRPr="00DB5440">
              <w:t>Documentation</w:t>
            </w:r>
          </w:p>
        </w:tc>
        <w:tc>
          <w:tcPr>
            <w:tcW w:w="0" w:type="auto"/>
            <w:hideMark/>
          </w:tcPr>
          <w:p w14:paraId="31B1D58B" w14:textId="77777777" w:rsidR="00A1567C" w:rsidRPr="00DB5440" w:rsidRDefault="00A1567C" w:rsidP="00A1567C">
            <w:r w:rsidRPr="00DB5440">
              <w:t>Proof of legal pesticide application</w:t>
            </w:r>
          </w:p>
        </w:tc>
      </w:tr>
      <w:tr w:rsidR="00A1567C" w:rsidRPr="00DB5440" w14:paraId="4085AB3B" w14:textId="77777777" w:rsidTr="00DB5440">
        <w:tc>
          <w:tcPr>
            <w:tcW w:w="0" w:type="auto"/>
            <w:hideMark/>
          </w:tcPr>
          <w:p w14:paraId="2BC6D90F" w14:textId="77777777" w:rsidR="00A1567C" w:rsidRPr="00DB5440" w:rsidRDefault="00A1567C" w:rsidP="00A1567C">
            <w:r w:rsidRPr="00DB5440">
              <w:t>Regulatory Flexibility</w:t>
            </w:r>
          </w:p>
        </w:tc>
        <w:tc>
          <w:tcPr>
            <w:tcW w:w="0" w:type="auto"/>
            <w:hideMark/>
          </w:tcPr>
          <w:p w14:paraId="0681E6F3" w14:textId="77777777" w:rsidR="00A1567C" w:rsidRPr="00DB5440" w:rsidRDefault="00A1567C" w:rsidP="00A1567C">
            <w:r w:rsidRPr="00DB5440">
              <w:t>Alternative compliance evidence allowed</w:t>
            </w:r>
          </w:p>
        </w:tc>
      </w:tr>
    </w:tbl>
    <w:p w14:paraId="14A7FF2D" w14:textId="77777777" w:rsidR="00A1567C" w:rsidRPr="00DB5440" w:rsidRDefault="00A1567C" w:rsidP="00DB5440">
      <w:pPr>
        <w:spacing w:before="240"/>
        <w:rPr>
          <w:b/>
          <w:bCs/>
        </w:rPr>
      </w:pPr>
      <w:r w:rsidRPr="00DB5440">
        <w:rPr>
          <w:b/>
          <w:bCs/>
        </w:rPr>
        <w:lastRenderedPageBreak/>
        <w:t>Documentation Examples</w:t>
      </w:r>
    </w:p>
    <w:p w14:paraId="0BF52CF4" w14:textId="77777777" w:rsidR="00A1567C" w:rsidRPr="00DB5440" w:rsidRDefault="00A1567C" w:rsidP="00A1567C">
      <w:pPr>
        <w:numPr>
          <w:ilvl w:val="0"/>
          <w:numId w:val="4"/>
        </w:numPr>
      </w:pPr>
      <w:r w:rsidRPr="00DB5440">
        <w:t xml:space="preserve">Application records </w:t>
      </w:r>
    </w:p>
    <w:p w14:paraId="57CA4AAE" w14:textId="77777777" w:rsidR="00A1567C" w:rsidRPr="00DB5440" w:rsidRDefault="00A1567C" w:rsidP="00A1567C">
      <w:pPr>
        <w:numPr>
          <w:ilvl w:val="0"/>
          <w:numId w:val="4"/>
        </w:numPr>
      </w:pPr>
      <w:r w:rsidRPr="00DB5440">
        <w:t xml:space="preserve">Batch traceability data </w:t>
      </w:r>
    </w:p>
    <w:p w14:paraId="069FDE57" w14:textId="77777777" w:rsidR="00A1567C" w:rsidRPr="00DB5440" w:rsidRDefault="00A1567C" w:rsidP="00A1567C">
      <w:pPr>
        <w:numPr>
          <w:ilvl w:val="0"/>
          <w:numId w:val="4"/>
        </w:numPr>
      </w:pPr>
      <w:r w:rsidRPr="00DB5440">
        <w:t xml:space="preserve">Supplier certifications </w:t>
      </w:r>
    </w:p>
    <w:p w14:paraId="3E215D03" w14:textId="77777777" w:rsidR="00A1567C" w:rsidRPr="00DB5440" w:rsidRDefault="00A1567C" w:rsidP="00A1567C">
      <w:pPr>
        <w:numPr>
          <w:ilvl w:val="0"/>
          <w:numId w:val="4"/>
        </w:numPr>
      </w:pPr>
      <w:r w:rsidRPr="00DB5440">
        <w:t xml:space="preserve">Historical compliance documentation </w:t>
      </w:r>
    </w:p>
    <w:p w14:paraId="35955838" w14:textId="77777777" w:rsidR="00A1567C" w:rsidRPr="00DB5440" w:rsidRDefault="00A1567C" w:rsidP="00DB5440">
      <w:pPr>
        <w:pStyle w:val="Heading2"/>
      </w:pPr>
      <w:r w:rsidRPr="00DB5440">
        <w:t>Toxicological Risk Assessment (TRA) For Pesticide Residues</w:t>
      </w:r>
    </w:p>
    <w:p w14:paraId="3D663296" w14:textId="77777777" w:rsidR="00A1567C" w:rsidRPr="00DB5440" w:rsidRDefault="00A1567C" w:rsidP="00A1567C">
      <w:r w:rsidRPr="00DB5440">
        <w:t>Toxicology risk assessment is essential to ensure that pesticide residues do not pose health risks.</w:t>
      </w:r>
    </w:p>
    <w:p w14:paraId="14AF80F5" w14:textId="77777777" w:rsidR="00A1567C" w:rsidRPr="00DB5440" w:rsidRDefault="00A1567C" w:rsidP="00A1567C">
      <w:pPr>
        <w:rPr>
          <w:b/>
          <w:bCs/>
        </w:rPr>
      </w:pPr>
      <w:r w:rsidRPr="00DB5440">
        <w:rPr>
          <w:b/>
          <w:bCs/>
        </w:rPr>
        <w:t>Key Components Of TRA</w:t>
      </w:r>
    </w:p>
    <w:tbl>
      <w:tblPr>
        <w:tblStyle w:val="TableGrid"/>
        <w:tblW w:w="0" w:type="auto"/>
        <w:tblLook w:val="04A0" w:firstRow="1" w:lastRow="0" w:firstColumn="1" w:lastColumn="0" w:noHBand="0" w:noVBand="1"/>
      </w:tblPr>
      <w:tblGrid>
        <w:gridCol w:w="3181"/>
        <w:gridCol w:w="3278"/>
      </w:tblGrid>
      <w:tr w:rsidR="00A1567C" w:rsidRPr="00DB5440" w14:paraId="67CB125B" w14:textId="77777777" w:rsidTr="00DB5440">
        <w:tc>
          <w:tcPr>
            <w:tcW w:w="0" w:type="auto"/>
            <w:shd w:val="clear" w:color="auto" w:fill="A5C9EB" w:themeFill="text2" w:themeFillTint="40"/>
            <w:hideMark/>
          </w:tcPr>
          <w:p w14:paraId="2BF2F007" w14:textId="77777777" w:rsidR="00A1567C" w:rsidRPr="00DB5440" w:rsidRDefault="00A1567C" w:rsidP="00A1567C">
            <w:pPr>
              <w:rPr>
                <w:b/>
                <w:bCs/>
              </w:rPr>
            </w:pPr>
            <w:r w:rsidRPr="00DB5440">
              <w:rPr>
                <w:b/>
                <w:bCs/>
              </w:rPr>
              <w:t>Assessment Stage</w:t>
            </w:r>
          </w:p>
        </w:tc>
        <w:tc>
          <w:tcPr>
            <w:tcW w:w="0" w:type="auto"/>
            <w:shd w:val="clear" w:color="auto" w:fill="A5C9EB" w:themeFill="text2" w:themeFillTint="40"/>
            <w:hideMark/>
          </w:tcPr>
          <w:p w14:paraId="21EEF8CA" w14:textId="77777777" w:rsidR="00A1567C" w:rsidRPr="00DB5440" w:rsidRDefault="00A1567C" w:rsidP="00A1567C">
            <w:pPr>
              <w:rPr>
                <w:b/>
                <w:bCs/>
              </w:rPr>
            </w:pPr>
            <w:r w:rsidRPr="00DB5440">
              <w:rPr>
                <w:b/>
                <w:bCs/>
              </w:rPr>
              <w:t>Purpose</w:t>
            </w:r>
          </w:p>
        </w:tc>
      </w:tr>
      <w:tr w:rsidR="00A1567C" w:rsidRPr="00DB5440" w14:paraId="799AB406" w14:textId="77777777" w:rsidTr="00DB5440">
        <w:tc>
          <w:tcPr>
            <w:tcW w:w="0" w:type="auto"/>
            <w:hideMark/>
          </w:tcPr>
          <w:p w14:paraId="748C1701" w14:textId="77777777" w:rsidR="00A1567C" w:rsidRPr="00DB5440" w:rsidRDefault="00A1567C" w:rsidP="00A1567C">
            <w:r w:rsidRPr="00DB5440">
              <w:t>Hazard Identification</w:t>
            </w:r>
          </w:p>
        </w:tc>
        <w:tc>
          <w:tcPr>
            <w:tcW w:w="0" w:type="auto"/>
            <w:hideMark/>
          </w:tcPr>
          <w:p w14:paraId="3D5B7B6C" w14:textId="77777777" w:rsidR="00A1567C" w:rsidRPr="00DB5440" w:rsidRDefault="00A1567C" w:rsidP="00A1567C">
            <w:r w:rsidRPr="00DB5440">
              <w:t>Determine toxicity profile</w:t>
            </w:r>
          </w:p>
        </w:tc>
      </w:tr>
      <w:tr w:rsidR="00A1567C" w:rsidRPr="00DB5440" w14:paraId="7F91C105" w14:textId="77777777" w:rsidTr="00DB5440">
        <w:tc>
          <w:tcPr>
            <w:tcW w:w="0" w:type="auto"/>
            <w:hideMark/>
          </w:tcPr>
          <w:p w14:paraId="3EF9498F" w14:textId="77777777" w:rsidR="00A1567C" w:rsidRPr="00DB5440" w:rsidRDefault="00A1567C" w:rsidP="00A1567C">
            <w:r w:rsidRPr="00DB5440">
              <w:t>Dose-Response Assessment</w:t>
            </w:r>
          </w:p>
        </w:tc>
        <w:tc>
          <w:tcPr>
            <w:tcW w:w="0" w:type="auto"/>
            <w:hideMark/>
          </w:tcPr>
          <w:p w14:paraId="7C87C4B1" w14:textId="77777777" w:rsidR="00A1567C" w:rsidRPr="00DB5440" w:rsidRDefault="00A1567C" w:rsidP="00A1567C">
            <w:r w:rsidRPr="00DB5440">
              <w:t>Establish safe exposure limits</w:t>
            </w:r>
          </w:p>
        </w:tc>
      </w:tr>
      <w:tr w:rsidR="00A1567C" w:rsidRPr="00DB5440" w14:paraId="6D8C9D69" w14:textId="77777777" w:rsidTr="00DB5440">
        <w:tc>
          <w:tcPr>
            <w:tcW w:w="0" w:type="auto"/>
            <w:hideMark/>
          </w:tcPr>
          <w:p w14:paraId="15A6CD70" w14:textId="77777777" w:rsidR="00A1567C" w:rsidRPr="00DB5440" w:rsidRDefault="00A1567C" w:rsidP="00A1567C">
            <w:r w:rsidRPr="00DB5440">
              <w:t>Exposure Assessment</w:t>
            </w:r>
          </w:p>
        </w:tc>
        <w:tc>
          <w:tcPr>
            <w:tcW w:w="0" w:type="auto"/>
            <w:hideMark/>
          </w:tcPr>
          <w:p w14:paraId="3B23F577" w14:textId="77777777" w:rsidR="00A1567C" w:rsidRPr="00DB5440" w:rsidRDefault="00A1567C" w:rsidP="00A1567C">
            <w:r w:rsidRPr="00DB5440">
              <w:t>Evaluate dietary intake risks</w:t>
            </w:r>
          </w:p>
        </w:tc>
      </w:tr>
      <w:tr w:rsidR="00A1567C" w:rsidRPr="00DB5440" w14:paraId="25199956" w14:textId="77777777" w:rsidTr="00DB5440">
        <w:tc>
          <w:tcPr>
            <w:tcW w:w="0" w:type="auto"/>
            <w:hideMark/>
          </w:tcPr>
          <w:p w14:paraId="467FB46A" w14:textId="77777777" w:rsidR="00A1567C" w:rsidRPr="00DB5440" w:rsidRDefault="00A1567C" w:rsidP="00A1567C">
            <w:r w:rsidRPr="00DB5440">
              <w:t>Risk Characterization</w:t>
            </w:r>
          </w:p>
        </w:tc>
        <w:tc>
          <w:tcPr>
            <w:tcW w:w="0" w:type="auto"/>
            <w:hideMark/>
          </w:tcPr>
          <w:p w14:paraId="2C39164F" w14:textId="77777777" w:rsidR="00A1567C" w:rsidRPr="00DB5440" w:rsidRDefault="00A1567C" w:rsidP="00A1567C">
            <w:r w:rsidRPr="00DB5440">
              <w:t>Overall safety evaluation</w:t>
            </w:r>
          </w:p>
        </w:tc>
      </w:tr>
    </w:tbl>
    <w:p w14:paraId="6FF96A2A" w14:textId="77777777" w:rsidR="00A1567C" w:rsidRPr="00DB5440" w:rsidRDefault="00A1567C" w:rsidP="00DB5440">
      <w:pPr>
        <w:spacing w:before="240"/>
        <w:rPr>
          <w:b/>
          <w:bCs/>
        </w:rPr>
      </w:pPr>
      <w:r w:rsidRPr="00DB5440">
        <w:rPr>
          <w:b/>
          <w:bCs/>
        </w:rPr>
        <w:t>Importance Of TRA</w:t>
      </w:r>
    </w:p>
    <w:p w14:paraId="4E6ACAE9" w14:textId="77777777" w:rsidR="00A1567C" w:rsidRPr="00DB5440" w:rsidRDefault="00A1567C" w:rsidP="00A1567C">
      <w:pPr>
        <w:numPr>
          <w:ilvl w:val="0"/>
          <w:numId w:val="5"/>
        </w:numPr>
      </w:pPr>
      <w:r w:rsidRPr="00DB5440">
        <w:t xml:space="preserve">Ensures </w:t>
      </w:r>
      <w:r w:rsidRPr="00DB5440">
        <w:rPr>
          <w:b/>
          <w:bCs/>
        </w:rPr>
        <w:t>consumer safety</w:t>
      </w:r>
      <w:r w:rsidRPr="00DB5440">
        <w:t xml:space="preserve"> </w:t>
      </w:r>
    </w:p>
    <w:p w14:paraId="71F73E02" w14:textId="77777777" w:rsidR="00A1567C" w:rsidRPr="00DB5440" w:rsidRDefault="00A1567C" w:rsidP="00A1567C">
      <w:pPr>
        <w:numPr>
          <w:ilvl w:val="0"/>
          <w:numId w:val="5"/>
        </w:numPr>
      </w:pPr>
      <w:r w:rsidRPr="00DB5440">
        <w:t xml:space="preserve">Supports </w:t>
      </w:r>
      <w:r w:rsidRPr="00DB5440">
        <w:rPr>
          <w:b/>
          <w:bCs/>
        </w:rPr>
        <w:t>regulatory submissions</w:t>
      </w:r>
      <w:r w:rsidRPr="00DB5440">
        <w:t xml:space="preserve"> </w:t>
      </w:r>
    </w:p>
    <w:p w14:paraId="3512CC1D" w14:textId="77777777" w:rsidR="00A1567C" w:rsidRPr="00DB5440" w:rsidRDefault="00A1567C" w:rsidP="00A1567C">
      <w:pPr>
        <w:numPr>
          <w:ilvl w:val="0"/>
          <w:numId w:val="5"/>
        </w:numPr>
      </w:pPr>
      <w:r w:rsidRPr="00DB5440">
        <w:t xml:space="preserve">Validates compliance with </w:t>
      </w:r>
      <w:r w:rsidRPr="00DB5440">
        <w:rPr>
          <w:b/>
          <w:bCs/>
        </w:rPr>
        <w:t>global standards</w:t>
      </w:r>
      <w:r w:rsidRPr="00DB5440">
        <w:t xml:space="preserve"> </w:t>
      </w:r>
    </w:p>
    <w:p w14:paraId="39E03BB1" w14:textId="77777777" w:rsidR="00A1567C" w:rsidRPr="00DB5440" w:rsidRDefault="00A1567C" w:rsidP="00DB5440">
      <w:pPr>
        <w:pStyle w:val="Heading2"/>
      </w:pPr>
      <w:r w:rsidRPr="00DB5440">
        <w:t>Global Regulatory Compliance Requirements</w:t>
      </w:r>
    </w:p>
    <w:p w14:paraId="6A5EC7CB" w14:textId="77777777" w:rsidR="00A1567C" w:rsidRPr="00DB5440" w:rsidRDefault="00A1567C" w:rsidP="00A1567C">
      <w:r w:rsidRPr="00DB5440">
        <w:t>To maintain compliance, companies must align with:</w:t>
      </w:r>
    </w:p>
    <w:p w14:paraId="5123B66C" w14:textId="77777777" w:rsidR="00A1567C" w:rsidRPr="00DB5440" w:rsidRDefault="00A1567C" w:rsidP="00A1567C">
      <w:pPr>
        <w:rPr>
          <w:b/>
          <w:bCs/>
        </w:rPr>
      </w:pPr>
      <w:r w:rsidRPr="00DB5440">
        <w:rPr>
          <w:b/>
          <w:bCs/>
        </w:rPr>
        <w:t>1. FDA Regulations</w:t>
      </w:r>
    </w:p>
    <w:p w14:paraId="621A3ADA" w14:textId="47605827" w:rsidR="00A1567C" w:rsidRPr="00DB5440" w:rsidRDefault="00A1567C" w:rsidP="00A1567C">
      <w:pPr>
        <w:numPr>
          <w:ilvl w:val="0"/>
          <w:numId w:val="6"/>
        </w:numPr>
      </w:pPr>
      <w:r w:rsidRPr="00DB5440">
        <w:t xml:space="preserve">Channels of Trade </w:t>
      </w:r>
      <w:r w:rsidR="00DB5440" w:rsidRPr="00DB5440">
        <w:t>Compliance</w:t>
      </w:r>
      <w:r w:rsidRPr="00DB5440">
        <w:t xml:space="preserve"> </w:t>
      </w:r>
    </w:p>
    <w:p w14:paraId="2350B36F" w14:textId="77777777" w:rsidR="00A1567C" w:rsidRPr="00DB5440" w:rsidRDefault="00A1567C" w:rsidP="00A1567C">
      <w:pPr>
        <w:numPr>
          <w:ilvl w:val="0"/>
          <w:numId w:val="6"/>
        </w:numPr>
      </w:pPr>
      <w:r w:rsidRPr="00DB5440">
        <w:t xml:space="preserve">Food safety enforcement policies </w:t>
      </w:r>
    </w:p>
    <w:p w14:paraId="2E928C81" w14:textId="77777777" w:rsidR="00A1567C" w:rsidRPr="00DB5440" w:rsidRDefault="00A1567C" w:rsidP="00A1567C">
      <w:pPr>
        <w:rPr>
          <w:b/>
          <w:bCs/>
        </w:rPr>
      </w:pPr>
      <w:r w:rsidRPr="00DB5440">
        <w:rPr>
          <w:b/>
          <w:bCs/>
        </w:rPr>
        <w:t>2. EPA Guidelines (FIFRA)</w:t>
      </w:r>
    </w:p>
    <w:p w14:paraId="4724F3A0" w14:textId="77777777" w:rsidR="00A1567C" w:rsidRPr="00DB5440" w:rsidRDefault="00A1567C" w:rsidP="00A1567C">
      <w:pPr>
        <w:numPr>
          <w:ilvl w:val="0"/>
          <w:numId w:val="7"/>
        </w:numPr>
      </w:pPr>
      <w:r w:rsidRPr="00DB5440">
        <w:t xml:space="preserve">Pesticide registration and usage approval </w:t>
      </w:r>
    </w:p>
    <w:p w14:paraId="6FA314E4" w14:textId="77777777" w:rsidR="00A1567C" w:rsidRPr="00DB5440" w:rsidRDefault="00A1567C" w:rsidP="00A1567C">
      <w:pPr>
        <w:numPr>
          <w:ilvl w:val="0"/>
          <w:numId w:val="7"/>
        </w:numPr>
      </w:pPr>
      <w:r w:rsidRPr="00DB5440">
        <w:t xml:space="preserve">Residue tolerance limits </w:t>
      </w:r>
    </w:p>
    <w:p w14:paraId="74CE92BC" w14:textId="77777777" w:rsidR="00A1567C" w:rsidRPr="00DB5440" w:rsidRDefault="00A1567C" w:rsidP="00A1567C">
      <w:pPr>
        <w:rPr>
          <w:b/>
          <w:bCs/>
        </w:rPr>
      </w:pPr>
      <w:r w:rsidRPr="00DB5440">
        <w:rPr>
          <w:b/>
          <w:bCs/>
        </w:rPr>
        <w:lastRenderedPageBreak/>
        <w:t>3. Codex Alimentarius Standards</w:t>
      </w:r>
    </w:p>
    <w:p w14:paraId="33E039DF" w14:textId="77777777" w:rsidR="00A1567C" w:rsidRPr="00DB5440" w:rsidRDefault="00A1567C" w:rsidP="00A1567C">
      <w:pPr>
        <w:numPr>
          <w:ilvl w:val="0"/>
          <w:numId w:val="8"/>
        </w:numPr>
      </w:pPr>
      <w:r w:rsidRPr="00DB5440">
        <w:t xml:space="preserve">International Maximum Residue Limits (MRLs) </w:t>
      </w:r>
    </w:p>
    <w:p w14:paraId="3C18F85A" w14:textId="77777777" w:rsidR="00A1567C" w:rsidRPr="00DB5440" w:rsidRDefault="00A1567C" w:rsidP="00A1567C">
      <w:pPr>
        <w:numPr>
          <w:ilvl w:val="0"/>
          <w:numId w:val="8"/>
        </w:numPr>
      </w:pPr>
      <w:r w:rsidRPr="00DB5440">
        <w:t xml:space="preserve">Global trade compliance </w:t>
      </w:r>
    </w:p>
    <w:p w14:paraId="040C653B" w14:textId="77777777" w:rsidR="00A1567C" w:rsidRPr="00DB5440" w:rsidRDefault="00A1567C" w:rsidP="00A1567C">
      <w:pPr>
        <w:rPr>
          <w:b/>
          <w:bCs/>
        </w:rPr>
      </w:pPr>
      <w:r w:rsidRPr="00DB5440">
        <w:rPr>
          <w:b/>
          <w:bCs/>
        </w:rPr>
        <w:t>4. Good Agricultural Practices (GAP)</w:t>
      </w:r>
    </w:p>
    <w:p w14:paraId="6A9428CD" w14:textId="77777777" w:rsidR="00A1567C" w:rsidRPr="00DB5440" w:rsidRDefault="00A1567C" w:rsidP="00A1567C">
      <w:pPr>
        <w:numPr>
          <w:ilvl w:val="0"/>
          <w:numId w:val="9"/>
        </w:numPr>
      </w:pPr>
      <w:r w:rsidRPr="00DB5440">
        <w:t xml:space="preserve">Controlled pesticide application </w:t>
      </w:r>
    </w:p>
    <w:p w14:paraId="50EE2C4B" w14:textId="77777777" w:rsidR="00A1567C" w:rsidRPr="00DB5440" w:rsidRDefault="00A1567C" w:rsidP="00A1567C">
      <w:pPr>
        <w:numPr>
          <w:ilvl w:val="0"/>
          <w:numId w:val="9"/>
        </w:numPr>
      </w:pPr>
      <w:r w:rsidRPr="00DB5440">
        <w:t xml:space="preserve">Residue minimization strategies </w:t>
      </w:r>
    </w:p>
    <w:p w14:paraId="3DE78B72" w14:textId="69003FBA" w:rsidR="00A1567C" w:rsidRPr="00DB5440" w:rsidRDefault="00A1567C" w:rsidP="00DB5440">
      <w:pPr>
        <w:pStyle w:val="Heading2"/>
      </w:pPr>
      <w:r w:rsidRPr="00DB5440">
        <w:t xml:space="preserve">Common Challenges </w:t>
      </w:r>
      <w:r w:rsidR="00DB5440" w:rsidRPr="00DB5440">
        <w:t>in</w:t>
      </w:r>
      <w:r w:rsidRPr="00DB5440">
        <w:t xml:space="preserve"> Compliance</w:t>
      </w:r>
    </w:p>
    <w:tbl>
      <w:tblPr>
        <w:tblStyle w:val="TableGrid"/>
        <w:tblW w:w="0" w:type="auto"/>
        <w:tblLook w:val="04A0" w:firstRow="1" w:lastRow="0" w:firstColumn="1" w:lastColumn="0" w:noHBand="0" w:noVBand="1"/>
      </w:tblPr>
      <w:tblGrid>
        <w:gridCol w:w="2794"/>
        <w:gridCol w:w="2335"/>
        <w:gridCol w:w="3328"/>
      </w:tblGrid>
      <w:tr w:rsidR="00A1567C" w:rsidRPr="00DB5440" w14:paraId="577B9EFF" w14:textId="77777777" w:rsidTr="00DB5440">
        <w:tc>
          <w:tcPr>
            <w:tcW w:w="0" w:type="auto"/>
            <w:shd w:val="clear" w:color="auto" w:fill="A5C9EB" w:themeFill="text2" w:themeFillTint="40"/>
            <w:hideMark/>
          </w:tcPr>
          <w:p w14:paraId="76DD6FD3" w14:textId="77777777" w:rsidR="00A1567C" w:rsidRPr="00DB5440" w:rsidRDefault="00A1567C" w:rsidP="00A1567C">
            <w:pPr>
              <w:rPr>
                <w:b/>
                <w:bCs/>
              </w:rPr>
            </w:pPr>
            <w:r w:rsidRPr="00DB5440">
              <w:rPr>
                <w:b/>
                <w:bCs/>
              </w:rPr>
              <w:t>Challenge</w:t>
            </w:r>
          </w:p>
        </w:tc>
        <w:tc>
          <w:tcPr>
            <w:tcW w:w="0" w:type="auto"/>
            <w:shd w:val="clear" w:color="auto" w:fill="A5C9EB" w:themeFill="text2" w:themeFillTint="40"/>
            <w:hideMark/>
          </w:tcPr>
          <w:p w14:paraId="2817E292" w14:textId="77777777" w:rsidR="00A1567C" w:rsidRPr="00DB5440" w:rsidRDefault="00A1567C" w:rsidP="00A1567C">
            <w:pPr>
              <w:rPr>
                <w:b/>
                <w:bCs/>
              </w:rPr>
            </w:pPr>
            <w:r w:rsidRPr="00DB5440">
              <w:rPr>
                <w:b/>
                <w:bCs/>
              </w:rPr>
              <w:t>Impact</w:t>
            </w:r>
          </w:p>
        </w:tc>
        <w:tc>
          <w:tcPr>
            <w:tcW w:w="0" w:type="auto"/>
            <w:shd w:val="clear" w:color="auto" w:fill="A5C9EB" w:themeFill="text2" w:themeFillTint="40"/>
            <w:hideMark/>
          </w:tcPr>
          <w:p w14:paraId="375BCAB0" w14:textId="77777777" w:rsidR="00A1567C" w:rsidRPr="00DB5440" w:rsidRDefault="00A1567C" w:rsidP="00A1567C">
            <w:pPr>
              <w:rPr>
                <w:b/>
                <w:bCs/>
              </w:rPr>
            </w:pPr>
            <w:r w:rsidRPr="00DB5440">
              <w:rPr>
                <w:b/>
                <w:bCs/>
              </w:rPr>
              <w:t>Solution</w:t>
            </w:r>
          </w:p>
        </w:tc>
      </w:tr>
      <w:tr w:rsidR="00A1567C" w:rsidRPr="00DB5440" w14:paraId="694FBA07" w14:textId="77777777" w:rsidTr="00DB5440">
        <w:tc>
          <w:tcPr>
            <w:tcW w:w="0" w:type="auto"/>
            <w:hideMark/>
          </w:tcPr>
          <w:p w14:paraId="3C8F8D68" w14:textId="77777777" w:rsidR="00A1567C" w:rsidRPr="00DB5440" w:rsidRDefault="00A1567C" w:rsidP="00A1567C">
            <w:r w:rsidRPr="00DB5440">
              <w:t>Lack of documentation</w:t>
            </w:r>
          </w:p>
        </w:tc>
        <w:tc>
          <w:tcPr>
            <w:tcW w:w="0" w:type="auto"/>
            <w:hideMark/>
          </w:tcPr>
          <w:p w14:paraId="6A30906B" w14:textId="77777777" w:rsidR="00A1567C" w:rsidRPr="00DB5440" w:rsidRDefault="00A1567C" w:rsidP="00A1567C">
            <w:r w:rsidRPr="00DB5440">
              <w:t>Product rejection</w:t>
            </w:r>
          </w:p>
        </w:tc>
        <w:tc>
          <w:tcPr>
            <w:tcW w:w="0" w:type="auto"/>
            <w:hideMark/>
          </w:tcPr>
          <w:p w14:paraId="64213734" w14:textId="77777777" w:rsidR="00A1567C" w:rsidRPr="00DB5440" w:rsidRDefault="00A1567C" w:rsidP="00A1567C">
            <w:r w:rsidRPr="00DB5440">
              <w:t>Robust record management</w:t>
            </w:r>
          </w:p>
        </w:tc>
      </w:tr>
      <w:tr w:rsidR="00A1567C" w:rsidRPr="00DB5440" w14:paraId="17013DE3" w14:textId="77777777" w:rsidTr="00DB5440">
        <w:tc>
          <w:tcPr>
            <w:tcW w:w="0" w:type="auto"/>
            <w:hideMark/>
          </w:tcPr>
          <w:p w14:paraId="32A08D37" w14:textId="77777777" w:rsidR="00A1567C" w:rsidRPr="00DB5440" w:rsidRDefault="00A1567C" w:rsidP="00A1567C">
            <w:r w:rsidRPr="00DB5440">
              <w:t>Exceeding residue limits</w:t>
            </w:r>
          </w:p>
        </w:tc>
        <w:tc>
          <w:tcPr>
            <w:tcW w:w="0" w:type="auto"/>
            <w:hideMark/>
          </w:tcPr>
          <w:p w14:paraId="54563552" w14:textId="77777777" w:rsidR="00A1567C" w:rsidRPr="00DB5440" w:rsidRDefault="00A1567C" w:rsidP="00A1567C">
            <w:r w:rsidRPr="00DB5440">
              <w:t>Regulatory penalties</w:t>
            </w:r>
          </w:p>
        </w:tc>
        <w:tc>
          <w:tcPr>
            <w:tcW w:w="0" w:type="auto"/>
            <w:hideMark/>
          </w:tcPr>
          <w:p w14:paraId="0A48696D" w14:textId="77777777" w:rsidR="00A1567C" w:rsidRPr="00DB5440" w:rsidRDefault="00A1567C" w:rsidP="00A1567C">
            <w:r w:rsidRPr="00DB5440">
              <w:t>TRA-based monitoring</w:t>
            </w:r>
          </w:p>
        </w:tc>
      </w:tr>
      <w:tr w:rsidR="00A1567C" w:rsidRPr="00DB5440" w14:paraId="6C461411" w14:textId="77777777" w:rsidTr="00DB5440">
        <w:tc>
          <w:tcPr>
            <w:tcW w:w="0" w:type="auto"/>
            <w:hideMark/>
          </w:tcPr>
          <w:p w14:paraId="25AFE54A" w14:textId="77777777" w:rsidR="00A1567C" w:rsidRPr="00DB5440" w:rsidRDefault="00A1567C" w:rsidP="00A1567C">
            <w:r w:rsidRPr="00DB5440">
              <w:t>Changing EPA tolerances</w:t>
            </w:r>
          </w:p>
        </w:tc>
        <w:tc>
          <w:tcPr>
            <w:tcW w:w="0" w:type="auto"/>
            <w:hideMark/>
          </w:tcPr>
          <w:p w14:paraId="67FC07B8" w14:textId="77777777" w:rsidR="00A1567C" w:rsidRPr="00DB5440" w:rsidRDefault="00A1567C" w:rsidP="00A1567C">
            <w:r w:rsidRPr="00DB5440">
              <w:t>Market disruption</w:t>
            </w:r>
          </w:p>
        </w:tc>
        <w:tc>
          <w:tcPr>
            <w:tcW w:w="0" w:type="auto"/>
            <w:hideMark/>
          </w:tcPr>
          <w:p w14:paraId="4AC114C1" w14:textId="77777777" w:rsidR="00A1567C" w:rsidRPr="00DB5440" w:rsidRDefault="00A1567C" w:rsidP="00A1567C">
            <w:r w:rsidRPr="00DB5440">
              <w:t>Proactive compliance strategy</w:t>
            </w:r>
          </w:p>
        </w:tc>
      </w:tr>
      <w:tr w:rsidR="00A1567C" w:rsidRPr="00DB5440" w14:paraId="391B979B" w14:textId="77777777" w:rsidTr="00DB5440">
        <w:tc>
          <w:tcPr>
            <w:tcW w:w="0" w:type="auto"/>
            <w:hideMark/>
          </w:tcPr>
          <w:p w14:paraId="577CB5DA" w14:textId="77777777" w:rsidR="00A1567C" w:rsidRPr="00DB5440" w:rsidRDefault="00A1567C" w:rsidP="00A1567C">
            <w:r w:rsidRPr="00DB5440">
              <w:t>Supply chain gaps</w:t>
            </w:r>
          </w:p>
        </w:tc>
        <w:tc>
          <w:tcPr>
            <w:tcW w:w="0" w:type="auto"/>
            <w:hideMark/>
          </w:tcPr>
          <w:p w14:paraId="665958C4" w14:textId="77777777" w:rsidR="00A1567C" w:rsidRPr="00DB5440" w:rsidRDefault="00A1567C" w:rsidP="00A1567C">
            <w:r w:rsidRPr="00DB5440">
              <w:t>Traceability issues</w:t>
            </w:r>
          </w:p>
        </w:tc>
        <w:tc>
          <w:tcPr>
            <w:tcW w:w="0" w:type="auto"/>
            <w:hideMark/>
          </w:tcPr>
          <w:p w14:paraId="0CAF389D" w14:textId="77777777" w:rsidR="00A1567C" w:rsidRPr="00DB5440" w:rsidRDefault="00A1567C" w:rsidP="00A1567C">
            <w:r w:rsidRPr="00DB5440">
              <w:t>Digital tracking systems</w:t>
            </w:r>
          </w:p>
        </w:tc>
      </w:tr>
    </w:tbl>
    <w:p w14:paraId="31166D4C" w14:textId="37BE8CE8" w:rsidR="00A1567C" w:rsidRPr="00DB5440" w:rsidRDefault="00A1567C" w:rsidP="00DB5440">
      <w:pPr>
        <w:pStyle w:val="Heading2"/>
      </w:pPr>
      <w:r w:rsidRPr="00DB5440">
        <w:t xml:space="preserve">Latest Trends </w:t>
      </w:r>
      <w:r w:rsidR="00DB5440">
        <w:t>i</w:t>
      </w:r>
      <w:r w:rsidRPr="00DB5440">
        <w:t>n Pesticide Residue Regulations</w:t>
      </w:r>
    </w:p>
    <w:p w14:paraId="446BBE06" w14:textId="77777777" w:rsidR="00A1567C" w:rsidRPr="00DB5440" w:rsidRDefault="00A1567C" w:rsidP="00A1567C">
      <w:pPr>
        <w:numPr>
          <w:ilvl w:val="0"/>
          <w:numId w:val="10"/>
        </w:numPr>
      </w:pPr>
      <w:r w:rsidRPr="00DB5440">
        <w:t xml:space="preserve">Increased reliance on </w:t>
      </w:r>
      <w:r w:rsidRPr="00DB5440">
        <w:rPr>
          <w:b/>
          <w:bCs/>
        </w:rPr>
        <w:t>risk-based toxicological assessments</w:t>
      </w:r>
      <w:r w:rsidRPr="00DB5440">
        <w:t xml:space="preserve"> </w:t>
      </w:r>
    </w:p>
    <w:p w14:paraId="7465B59B" w14:textId="77777777" w:rsidR="00A1567C" w:rsidRPr="00DB5440" w:rsidRDefault="00A1567C" w:rsidP="00A1567C">
      <w:pPr>
        <w:numPr>
          <w:ilvl w:val="0"/>
          <w:numId w:val="10"/>
        </w:numPr>
      </w:pPr>
      <w:r w:rsidRPr="00DB5440">
        <w:t xml:space="preserve">Integration of </w:t>
      </w:r>
      <w:r w:rsidRPr="00DB5440">
        <w:rPr>
          <w:b/>
          <w:bCs/>
        </w:rPr>
        <w:t>digital traceability systems</w:t>
      </w:r>
      <w:r w:rsidRPr="00DB5440">
        <w:t xml:space="preserve"> </w:t>
      </w:r>
    </w:p>
    <w:p w14:paraId="7CF4FBCF" w14:textId="77777777" w:rsidR="00A1567C" w:rsidRPr="00DB5440" w:rsidRDefault="00A1567C" w:rsidP="00A1567C">
      <w:pPr>
        <w:numPr>
          <w:ilvl w:val="0"/>
          <w:numId w:val="10"/>
        </w:numPr>
      </w:pPr>
      <w:r w:rsidRPr="00DB5440">
        <w:t xml:space="preserve">Alignment with </w:t>
      </w:r>
      <w:r w:rsidRPr="00DB5440">
        <w:rPr>
          <w:b/>
          <w:bCs/>
        </w:rPr>
        <w:t>global food safety frameworks</w:t>
      </w:r>
      <w:r w:rsidRPr="00DB5440">
        <w:t xml:space="preserve"> </w:t>
      </w:r>
    </w:p>
    <w:p w14:paraId="5D6D21D1" w14:textId="77777777" w:rsidR="00A1567C" w:rsidRPr="00DB5440" w:rsidRDefault="00A1567C" w:rsidP="00A1567C">
      <w:pPr>
        <w:numPr>
          <w:ilvl w:val="0"/>
          <w:numId w:val="10"/>
        </w:numPr>
      </w:pPr>
      <w:r w:rsidRPr="00DB5440">
        <w:t xml:space="preserve">Use of </w:t>
      </w:r>
      <w:r w:rsidRPr="00DB5440">
        <w:rPr>
          <w:b/>
          <w:bCs/>
        </w:rPr>
        <w:t>AI in exposure and risk modeling</w:t>
      </w:r>
      <w:r w:rsidRPr="00DB5440">
        <w:t xml:space="preserve"> </w:t>
      </w:r>
    </w:p>
    <w:p w14:paraId="3EB7453D" w14:textId="77777777" w:rsidR="00A1567C" w:rsidRPr="00DB5440" w:rsidRDefault="00A1567C" w:rsidP="00A1567C">
      <w:pPr>
        <w:numPr>
          <w:ilvl w:val="0"/>
          <w:numId w:val="10"/>
        </w:numPr>
      </w:pPr>
      <w:r w:rsidRPr="00DB5440">
        <w:t xml:space="preserve">Strengthened focus on </w:t>
      </w:r>
      <w:r w:rsidRPr="00DB5440">
        <w:rPr>
          <w:b/>
          <w:bCs/>
        </w:rPr>
        <w:t>consumer safety and sustainability</w:t>
      </w:r>
      <w:r w:rsidRPr="00DB5440">
        <w:t xml:space="preserve"> </w:t>
      </w:r>
    </w:p>
    <w:p w14:paraId="3B7D7138" w14:textId="77777777" w:rsidR="00A1567C" w:rsidRPr="00DB5440" w:rsidRDefault="00A1567C" w:rsidP="00DB5440">
      <w:pPr>
        <w:pStyle w:val="Heading2"/>
      </w:pPr>
      <w:r w:rsidRPr="00DB5440">
        <w:t>How Maven Regulatory Solutions Supports Compliance</w:t>
      </w:r>
    </w:p>
    <w:p w14:paraId="566D347A" w14:textId="77777777" w:rsidR="00A1567C" w:rsidRPr="00DB5440" w:rsidRDefault="00A1567C" w:rsidP="00A1567C">
      <w:pPr>
        <w:rPr>
          <w:b/>
          <w:bCs/>
        </w:rPr>
      </w:pPr>
      <w:r w:rsidRPr="00DB5440">
        <w:rPr>
          <w:b/>
          <w:bCs/>
        </w:rPr>
        <w:t>1. Toxicological Risk Assessment (TRA)</w:t>
      </w:r>
    </w:p>
    <w:p w14:paraId="368322EF" w14:textId="77777777" w:rsidR="00A1567C" w:rsidRPr="00DB5440" w:rsidRDefault="00A1567C" w:rsidP="00A1567C">
      <w:pPr>
        <w:numPr>
          <w:ilvl w:val="0"/>
          <w:numId w:val="11"/>
        </w:numPr>
      </w:pPr>
      <w:r w:rsidRPr="00DB5440">
        <w:t xml:space="preserve">Hazard identification and exposure analysis </w:t>
      </w:r>
    </w:p>
    <w:p w14:paraId="5FDFF2E7" w14:textId="77777777" w:rsidR="00A1567C" w:rsidRPr="00DB5440" w:rsidRDefault="00A1567C" w:rsidP="00A1567C">
      <w:pPr>
        <w:numPr>
          <w:ilvl w:val="0"/>
          <w:numId w:val="11"/>
        </w:numPr>
      </w:pPr>
      <w:r w:rsidRPr="00DB5440">
        <w:t xml:space="preserve">Dose-response and safety margin evaluation </w:t>
      </w:r>
    </w:p>
    <w:p w14:paraId="35CFB044" w14:textId="3825976E" w:rsidR="00A1567C" w:rsidRPr="00DB5440" w:rsidRDefault="00A1567C" w:rsidP="00A1567C">
      <w:pPr>
        <w:rPr>
          <w:b/>
          <w:bCs/>
        </w:rPr>
      </w:pPr>
      <w:r w:rsidRPr="00DB5440">
        <w:rPr>
          <w:b/>
          <w:bCs/>
        </w:rPr>
        <w:t xml:space="preserve">2. Regulatory Strategy </w:t>
      </w:r>
      <w:r w:rsidR="00DB5440" w:rsidRPr="00DB5440">
        <w:rPr>
          <w:b/>
          <w:bCs/>
        </w:rPr>
        <w:t>and</w:t>
      </w:r>
      <w:r w:rsidRPr="00DB5440">
        <w:rPr>
          <w:b/>
          <w:bCs/>
        </w:rPr>
        <w:t xml:space="preserve"> Documentation</w:t>
      </w:r>
    </w:p>
    <w:p w14:paraId="7BA9E2DD" w14:textId="77777777" w:rsidR="00A1567C" w:rsidRPr="00DB5440" w:rsidRDefault="00A1567C" w:rsidP="00A1567C">
      <w:pPr>
        <w:numPr>
          <w:ilvl w:val="0"/>
          <w:numId w:val="12"/>
        </w:numPr>
      </w:pPr>
      <w:r w:rsidRPr="00DB5440">
        <w:t xml:space="preserve">FDA Channels of Trade compliance support </w:t>
      </w:r>
    </w:p>
    <w:p w14:paraId="3F712109" w14:textId="77777777" w:rsidR="00A1567C" w:rsidRPr="00DB5440" w:rsidRDefault="00A1567C" w:rsidP="00A1567C">
      <w:pPr>
        <w:numPr>
          <w:ilvl w:val="0"/>
          <w:numId w:val="12"/>
        </w:numPr>
      </w:pPr>
      <w:r w:rsidRPr="00DB5440">
        <w:t xml:space="preserve">EPA and Codex alignment </w:t>
      </w:r>
    </w:p>
    <w:p w14:paraId="720D2DB5" w14:textId="77777777" w:rsidR="00A1567C" w:rsidRPr="00DB5440" w:rsidRDefault="00A1567C" w:rsidP="00A1567C">
      <w:pPr>
        <w:numPr>
          <w:ilvl w:val="0"/>
          <w:numId w:val="12"/>
        </w:numPr>
      </w:pPr>
      <w:r w:rsidRPr="00DB5440">
        <w:t xml:space="preserve">Documentation and audit readiness </w:t>
      </w:r>
    </w:p>
    <w:p w14:paraId="46CAC282" w14:textId="77777777" w:rsidR="00A1567C" w:rsidRPr="00DB5440" w:rsidRDefault="00A1567C" w:rsidP="00A1567C">
      <w:pPr>
        <w:rPr>
          <w:b/>
          <w:bCs/>
        </w:rPr>
      </w:pPr>
      <w:r w:rsidRPr="00DB5440">
        <w:rPr>
          <w:b/>
          <w:bCs/>
        </w:rPr>
        <w:lastRenderedPageBreak/>
        <w:t>3. Pesticide Residue Compliance Management</w:t>
      </w:r>
    </w:p>
    <w:p w14:paraId="6B94C579" w14:textId="77777777" w:rsidR="00A1567C" w:rsidRPr="00DB5440" w:rsidRDefault="00A1567C" w:rsidP="00A1567C">
      <w:pPr>
        <w:numPr>
          <w:ilvl w:val="0"/>
          <w:numId w:val="13"/>
        </w:numPr>
      </w:pPr>
      <w:r w:rsidRPr="00DB5440">
        <w:t xml:space="preserve">GAP implementation strategies </w:t>
      </w:r>
    </w:p>
    <w:p w14:paraId="4568A167" w14:textId="77777777" w:rsidR="00A1567C" w:rsidRPr="00DB5440" w:rsidRDefault="00A1567C" w:rsidP="00A1567C">
      <w:pPr>
        <w:numPr>
          <w:ilvl w:val="0"/>
          <w:numId w:val="13"/>
        </w:numPr>
      </w:pPr>
      <w:r w:rsidRPr="00DB5440">
        <w:t xml:space="preserve">Residue monitoring and validation </w:t>
      </w:r>
    </w:p>
    <w:p w14:paraId="5A04BC5D" w14:textId="77777777" w:rsidR="00A1567C" w:rsidRPr="00DB5440" w:rsidRDefault="00A1567C" w:rsidP="00A1567C">
      <w:pPr>
        <w:numPr>
          <w:ilvl w:val="0"/>
          <w:numId w:val="13"/>
        </w:numPr>
      </w:pPr>
      <w:r w:rsidRPr="00DB5440">
        <w:t xml:space="preserve">Supply chain traceability support </w:t>
      </w:r>
    </w:p>
    <w:p w14:paraId="62E25720" w14:textId="77777777" w:rsidR="00A1567C" w:rsidRPr="00DB5440" w:rsidRDefault="00A1567C" w:rsidP="00A1567C">
      <w:pPr>
        <w:rPr>
          <w:b/>
          <w:bCs/>
        </w:rPr>
      </w:pPr>
      <w:r w:rsidRPr="00DB5440">
        <w:rPr>
          <w:b/>
          <w:bCs/>
        </w:rPr>
        <w:t>4. End-To-End Regulatory Consulting</w:t>
      </w:r>
    </w:p>
    <w:p w14:paraId="20355021" w14:textId="77777777" w:rsidR="00A1567C" w:rsidRPr="00DB5440" w:rsidRDefault="00A1567C" w:rsidP="00A1567C">
      <w:pPr>
        <w:numPr>
          <w:ilvl w:val="0"/>
          <w:numId w:val="14"/>
        </w:numPr>
      </w:pPr>
      <w:r w:rsidRPr="00DB5440">
        <w:t xml:space="preserve">Food safety compliance audits </w:t>
      </w:r>
    </w:p>
    <w:p w14:paraId="384FC2E1" w14:textId="77777777" w:rsidR="00A1567C" w:rsidRPr="00DB5440" w:rsidRDefault="00A1567C" w:rsidP="00A1567C">
      <w:pPr>
        <w:numPr>
          <w:ilvl w:val="0"/>
          <w:numId w:val="14"/>
        </w:numPr>
      </w:pPr>
      <w:r w:rsidRPr="00DB5440">
        <w:t xml:space="preserve">Global regulatory submission support </w:t>
      </w:r>
    </w:p>
    <w:p w14:paraId="66F3F0C0" w14:textId="77777777" w:rsidR="00A1567C" w:rsidRPr="00DB5440" w:rsidRDefault="00A1567C" w:rsidP="00A1567C">
      <w:pPr>
        <w:numPr>
          <w:ilvl w:val="0"/>
          <w:numId w:val="14"/>
        </w:numPr>
      </w:pPr>
      <w:r w:rsidRPr="00DB5440">
        <w:t xml:space="preserve">Risk mitigation strategies </w:t>
      </w:r>
    </w:p>
    <w:p w14:paraId="28F1D339" w14:textId="77777777" w:rsidR="00A1567C" w:rsidRPr="00DB5440" w:rsidRDefault="00A1567C" w:rsidP="00DB5440">
      <w:pPr>
        <w:pStyle w:val="Heading2"/>
      </w:pPr>
      <w:r w:rsidRPr="00DB5440">
        <w:t>Why Choose Maven Regulatory Solutions?</w:t>
      </w:r>
    </w:p>
    <w:p w14:paraId="6040ECE6" w14:textId="77777777" w:rsidR="00A1567C" w:rsidRPr="00DB5440" w:rsidRDefault="00A1567C" w:rsidP="00A1567C">
      <w:r w:rsidRPr="00DB5440">
        <w:t>Maven offers:</w:t>
      </w:r>
    </w:p>
    <w:p w14:paraId="35CD206D" w14:textId="77777777" w:rsidR="00A1567C" w:rsidRPr="00DB5440" w:rsidRDefault="00A1567C" w:rsidP="00A1567C">
      <w:pPr>
        <w:numPr>
          <w:ilvl w:val="0"/>
          <w:numId w:val="15"/>
        </w:numPr>
      </w:pPr>
      <w:r w:rsidRPr="00DB5440">
        <w:t xml:space="preserve">Expertise in </w:t>
      </w:r>
      <w:r w:rsidRPr="00DB5440">
        <w:rPr>
          <w:b/>
          <w:bCs/>
        </w:rPr>
        <w:t>food safety and pesticide regulations</w:t>
      </w:r>
      <w:r w:rsidRPr="00DB5440">
        <w:t xml:space="preserve"> </w:t>
      </w:r>
    </w:p>
    <w:p w14:paraId="1961CC84" w14:textId="77777777" w:rsidR="00A1567C" w:rsidRPr="00DB5440" w:rsidRDefault="00A1567C" w:rsidP="00A1567C">
      <w:pPr>
        <w:numPr>
          <w:ilvl w:val="0"/>
          <w:numId w:val="15"/>
        </w:numPr>
      </w:pPr>
      <w:r w:rsidRPr="00DB5440">
        <w:t xml:space="preserve">Advanced </w:t>
      </w:r>
      <w:r w:rsidRPr="00DB5440">
        <w:rPr>
          <w:b/>
          <w:bCs/>
        </w:rPr>
        <w:t>toxicology and exposure assessment capabilities</w:t>
      </w:r>
      <w:r w:rsidRPr="00DB5440">
        <w:t xml:space="preserve"> </w:t>
      </w:r>
    </w:p>
    <w:p w14:paraId="57EFB267" w14:textId="77777777" w:rsidR="00A1567C" w:rsidRPr="00DB5440" w:rsidRDefault="00A1567C" w:rsidP="00A1567C">
      <w:pPr>
        <w:numPr>
          <w:ilvl w:val="0"/>
          <w:numId w:val="15"/>
        </w:numPr>
      </w:pPr>
      <w:r w:rsidRPr="00DB5440">
        <w:t xml:space="preserve">Global regulatory alignment (FDA, EPA, Codex) </w:t>
      </w:r>
    </w:p>
    <w:p w14:paraId="219BFA14" w14:textId="77777777" w:rsidR="00A1567C" w:rsidRPr="00DB5440" w:rsidRDefault="00A1567C" w:rsidP="00A1567C">
      <w:pPr>
        <w:numPr>
          <w:ilvl w:val="0"/>
          <w:numId w:val="15"/>
        </w:numPr>
      </w:pPr>
      <w:r w:rsidRPr="00DB5440">
        <w:t xml:space="preserve">Customized compliance strategies for manufacturers </w:t>
      </w:r>
    </w:p>
    <w:p w14:paraId="77D590E0" w14:textId="77777777" w:rsidR="00A1567C" w:rsidRPr="00DB5440" w:rsidRDefault="00A1567C" w:rsidP="00A1567C">
      <w:r w:rsidRPr="00DB5440">
        <w:t xml:space="preserve">We help businesses achieve </w:t>
      </w:r>
      <w:r w:rsidRPr="00DB5440">
        <w:rPr>
          <w:b/>
          <w:bCs/>
        </w:rPr>
        <w:t>seamless regulatory compliance while ensuring consumer safety and product integrity</w:t>
      </w:r>
      <w:r w:rsidRPr="00DB5440">
        <w:t>.</w:t>
      </w:r>
    </w:p>
    <w:p w14:paraId="17CB0E58" w14:textId="77777777" w:rsidR="00A1567C" w:rsidRPr="00DB5440" w:rsidRDefault="00A1567C" w:rsidP="00DB5440">
      <w:pPr>
        <w:pStyle w:val="Heading2"/>
      </w:pPr>
      <w:r w:rsidRPr="00DB5440">
        <w:t>Conclusion</w:t>
      </w:r>
    </w:p>
    <w:p w14:paraId="63F20428" w14:textId="77777777" w:rsidR="00A1567C" w:rsidRPr="00DB5440" w:rsidRDefault="00A1567C" w:rsidP="00A1567C">
      <w:r w:rsidRPr="00DB5440">
        <w:t xml:space="preserve">The FDA’s Channels of Trade provision plays a critical role in ensuring </w:t>
      </w:r>
      <w:r w:rsidRPr="00DB5440">
        <w:rPr>
          <w:b/>
          <w:bCs/>
        </w:rPr>
        <w:t>regulatory flexibility while maintaining food safety standards</w:t>
      </w:r>
      <w:r w:rsidRPr="00DB5440">
        <w:t xml:space="preserve">. For pesticide residues such as methyl parathion, compliance requires a combination of </w:t>
      </w:r>
      <w:r w:rsidRPr="00DB5440">
        <w:rPr>
          <w:b/>
          <w:bCs/>
        </w:rPr>
        <w:t>robust documentation, toxicological risk assessment, and adherence to global regulatory frameworks</w:t>
      </w:r>
      <w:r w:rsidRPr="00DB5440">
        <w:t>.</w:t>
      </w:r>
    </w:p>
    <w:p w14:paraId="56966997" w14:textId="77777777" w:rsidR="00A1567C" w:rsidRPr="00DB5440" w:rsidRDefault="00A1567C" w:rsidP="00A1567C">
      <w:r w:rsidRPr="00DB5440">
        <w:t xml:space="preserve">In 2026, as regulatory expectations evolve, companies must adopt </w:t>
      </w:r>
      <w:r w:rsidRPr="00DB5440">
        <w:rPr>
          <w:b/>
          <w:bCs/>
        </w:rPr>
        <w:t>proactive compliance strategies and data-driven risk assessments</w:t>
      </w:r>
      <w:r w:rsidRPr="00DB5440">
        <w:t>.</w:t>
      </w:r>
    </w:p>
    <w:p w14:paraId="635DB7BF" w14:textId="77777777" w:rsidR="00A1567C" w:rsidRPr="00DB5440" w:rsidRDefault="00A1567C" w:rsidP="00A1567C">
      <w:r w:rsidRPr="00DB5440">
        <w:t xml:space="preserve">Partnering with </w:t>
      </w:r>
      <w:r w:rsidRPr="00DB5440">
        <w:rPr>
          <w:b/>
          <w:bCs/>
        </w:rPr>
        <w:t>Maven Regulatory Solutions</w:t>
      </w:r>
      <w:r w:rsidRPr="00DB5440">
        <w:t xml:space="preserve"> ensures a </w:t>
      </w:r>
      <w:r w:rsidRPr="00DB5440">
        <w:rPr>
          <w:b/>
          <w:bCs/>
        </w:rPr>
        <w:t>compliant, efficient, and risk-free pathway</w:t>
      </w:r>
      <w:r w:rsidRPr="00DB5440">
        <w:t xml:space="preserve"> to managing pesticide residue regulations and maintaining market access.</w:t>
      </w:r>
    </w:p>
    <w:p w14:paraId="5F562088" w14:textId="5173FF49" w:rsidR="00A1567C" w:rsidRPr="00DB5440" w:rsidRDefault="00A1567C" w:rsidP="00DB5440">
      <w:pPr>
        <w:pStyle w:val="Heading2"/>
      </w:pPr>
      <w:r w:rsidRPr="00DB5440">
        <w:t xml:space="preserve">FAQs </w:t>
      </w:r>
    </w:p>
    <w:p w14:paraId="062AFB2B" w14:textId="2EBE3101" w:rsidR="00A1567C" w:rsidRPr="00DB5440" w:rsidRDefault="00A1567C" w:rsidP="00A1567C">
      <w:pPr>
        <w:rPr>
          <w:b/>
          <w:bCs/>
        </w:rPr>
      </w:pPr>
      <w:r w:rsidRPr="00DB5440">
        <w:rPr>
          <w:b/>
          <w:bCs/>
        </w:rPr>
        <w:t xml:space="preserve">1. What </w:t>
      </w:r>
      <w:r w:rsidR="00DB5440" w:rsidRPr="00DB5440">
        <w:rPr>
          <w:b/>
          <w:bCs/>
        </w:rPr>
        <w:t>are</w:t>
      </w:r>
      <w:r w:rsidRPr="00DB5440">
        <w:rPr>
          <w:b/>
          <w:bCs/>
        </w:rPr>
        <w:t xml:space="preserve"> the FDA Channels of Trade provision?</w:t>
      </w:r>
    </w:p>
    <w:p w14:paraId="39F25A77" w14:textId="77777777" w:rsidR="00A1567C" w:rsidRPr="00DB5440" w:rsidRDefault="00A1567C" w:rsidP="00A1567C">
      <w:r w:rsidRPr="00DB5440">
        <w:lastRenderedPageBreak/>
        <w:t>It allows food products with legally applied pesticide residues to remain in commerce after tolerance changes.</w:t>
      </w:r>
    </w:p>
    <w:p w14:paraId="16373236" w14:textId="77777777" w:rsidR="00A1567C" w:rsidRPr="00DB5440" w:rsidRDefault="00A1567C" w:rsidP="00A1567C">
      <w:pPr>
        <w:rPr>
          <w:b/>
          <w:bCs/>
        </w:rPr>
      </w:pPr>
      <w:r w:rsidRPr="00DB5440">
        <w:rPr>
          <w:b/>
          <w:bCs/>
        </w:rPr>
        <w:t>2. Is methyl parathion still allowed?</w:t>
      </w:r>
    </w:p>
    <w:p w14:paraId="5E8E0952" w14:textId="77777777" w:rsidR="00A1567C" w:rsidRPr="00DB5440" w:rsidRDefault="00A1567C" w:rsidP="00A1567C">
      <w:r w:rsidRPr="00DB5440">
        <w:t>Certain uses are restricted or revoked, requiring strict compliance.</w:t>
      </w:r>
    </w:p>
    <w:p w14:paraId="04686333" w14:textId="77777777" w:rsidR="00A1567C" w:rsidRPr="00DB5440" w:rsidRDefault="00A1567C" w:rsidP="00A1567C">
      <w:pPr>
        <w:rPr>
          <w:b/>
          <w:bCs/>
        </w:rPr>
      </w:pPr>
      <w:r w:rsidRPr="00DB5440">
        <w:rPr>
          <w:b/>
          <w:bCs/>
        </w:rPr>
        <w:t>3. What documentation is required?</w:t>
      </w:r>
    </w:p>
    <w:p w14:paraId="33B25BD1" w14:textId="77777777" w:rsidR="00A1567C" w:rsidRPr="00DB5440" w:rsidRDefault="00A1567C" w:rsidP="00A1567C">
      <w:r w:rsidRPr="00DB5440">
        <w:t>Proof of lawful pesticide application and compliance with historical limits.</w:t>
      </w:r>
    </w:p>
    <w:p w14:paraId="30F00CF7" w14:textId="77777777" w:rsidR="00A1567C" w:rsidRPr="00DB5440" w:rsidRDefault="00A1567C" w:rsidP="00A1567C">
      <w:pPr>
        <w:rPr>
          <w:b/>
          <w:bCs/>
        </w:rPr>
      </w:pPr>
      <w:r w:rsidRPr="00DB5440">
        <w:rPr>
          <w:b/>
          <w:bCs/>
        </w:rPr>
        <w:t>4. Why is toxicological risk assessment important?</w:t>
      </w:r>
    </w:p>
    <w:p w14:paraId="042E214C" w14:textId="77777777" w:rsidR="00A1567C" w:rsidRPr="00DB5440" w:rsidRDefault="00A1567C" w:rsidP="00A1567C">
      <w:r w:rsidRPr="00DB5440">
        <w:t>It ensures pesticide residues do not pose health risks.</w:t>
      </w:r>
    </w:p>
    <w:p w14:paraId="7B7085EE" w14:textId="77777777" w:rsidR="00A1567C" w:rsidRPr="00DB5440" w:rsidRDefault="00A1567C" w:rsidP="00A1567C">
      <w:pPr>
        <w:rPr>
          <w:b/>
          <w:bCs/>
        </w:rPr>
      </w:pPr>
      <w:r w:rsidRPr="00DB5440">
        <w:rPr>
          <w:b/>
          <w:bCs/>
        </w:rPr>
        <w:t>5. How can companies ensure compliance?</w:t>
      </w:r>
    </w:p>
    <w:p w14:paraId="26CEE9D5" w14:textId="77777777" w:rsidR="00A1567C" w:rsidRPr="00DB5440" w:rsidRDefault="00A1567C" w:rsidP="00A1567C">
      <w:r w:rsidRPr="00DB5440">
        <w:t>Through proper documentation, TRA, and alignment with FDA and EPA guidelines.</w:t>
      </w:r>
    </w:p>
    <w:p w14:paraId="6A8BD364" w14:textId="77777777" w:rsidR="00DB5440" w:rsidRPr="00DB5440" w:rsidRDefault="00DB5440" w:rsidP="00A1567C"/>
    <w:p w14:paraId="105C756C" w14:textId="77777777" w:rsidR="00DB5440" w:rsidRPr="00DB5440" w:rsidRDefault="00DB5440" w:rsidP="00DB5440">
      <w:pPr>
        <w:rPr>
          <w:b/>
          <w:bCs/>
        </w:rPr>
      </w:pPr>
      <w:r w:rsidRPr="00DB5440">
        <w:rPr>
          <w:b/>
          <w:bCs/>
        </w:rPr>
        <w:t>Meta Title</w:t>
      </w:r>
    </w:p>
    <w:p w14:paraId="46117BFD" w14:textId="77777777" w:rsidR="00DB5440" w:rsidRPr="00DB5440" w:rsidRDefault="00DB5440" w:rsidP="00DB5440">
      <w:r w:rsidRPr="00DB5440">
        <w:t>FDA Channels of Trade Guide 2026</w:t>
      </w:r>
    </w:p>
    <w:p w14:paraId="27CE64E4" w14:textId="77777777" w:rsidR="00DB5440" w:rsidRPr="00DB5440" w:rsidRDefault="00DB5440" w:rsidP="00DB5440">
      <w:pPr>
        <w:rPr>
          <w:b/>
          <w:bCs/>
        </w:rPr>
      </w:pPr>
      <w:r w:rsidRPr="00DB5440">
        <w:rPr>
          <w:b/>
          <w:bCs/>
        </w:rPr>
        <w:t>Meta Summary</w:t>
      </w:r>
    </w:p>
    <w:p w14:paraId="34013959" w14:textId="77777777" w:rsidR="00DB5440" w:rsidRPr="00DB5440" w:rsidRDefault="00DB5440" w:rsidP="00DB5440">
      <w:r w:rsidRPr="00DB5440">
        <w:t>Comprehensive guide to FDA Channels of Trade provision, methyl parathion residues, toxicology risk assessment, and regulatory compliance for food safety.</w:t>
      </w:r>
    </w:p>
    <w:p w14:paraId="2E01DFDA" w14:textId="77777777" w:rsidR="00DB5440" w:rsidRPr="00DB5440" w:rsidRDefault="00DB5440" w:rsidP="00DB5440">
      <w:pPr>
        <w:rPr>
          <w:b/>
          <w:bCs/>
        </w:rPr>
      </w:pPr>
      <w:r w:rsidRPr="00DB5440">
        <w:rPr>
          <w:b/>
          <w:bCs/>
        </w:rPr>
        <w:t>Meta Keywords</w:t>
      </w:r>
    </w:p>
    <w:p w14:paraId="0C905BA1" w14:textId="72FC9509" w:rsidR="00DB73CE" w:rsidRDefault="00DB5440" w:rsidP="00DB73CE">
      <w:r w:rsidRPr="00DB5440">
        <w:t>FDA channels of trade provision, methyl parathion residue compliance, pesticide tolerance FDA EPA FIFRA FFDCA, toxicology risk assessment food safety, pesticide residue regulation USA, Codex Alimentarius pesticide limits, GAP pesticide compliance, food safety regulatory consulting Maven, pesticide residue risk assessment TRA, food regulatory compliance 2026</w:t>
      </w:r>
    </w:p>
    <w:p w14:paraId="0852367B" w14:textId="77777777" w:rsidR="007B57BE" w:rsidRPr="001F07E6" w:rsidRDefault="007B57BE" w:rsidP="007B57BE">
      <w:pPr>
        <w:rPr>
          <w:b/>
          <w:bCs/>
        </w:rPr>
      </w:pPr>
      <w:r w:rsidRPr="001F07E6">
        <w:rPr>
          <w:b/>
          <w:bCs/>
        </w:rPr>
        <w:t>Blog Tags</w:t>
      </w:r>
    </w:p>
    <w:p w14:paraId="0CC54E1C" w14:textId="53E57D66" w:rsidR="007B57BE" w:rsidRPr="00DB5440" w:rsidRDefault="007B57BE" w:rsidP="00DB73CE">
      <w:hyperlink r:id="rId10" w:history="1">
        <w:r w:rsidRPr="00454EAD">
          <w:rPr>
            <w:rStyle w:val="Hyperlink"/>
            <w:u w:val="none"/>
          </w:rPr>
          <w:t>Chemicals</w:t>
        </w:r>
      </w:hyperlink>
      <w:r w:rsidRPr="00454EAD">
        <w:t xml:space="preserve"> , </w:t>
      </w:r>
      <w:hyperlink r:id="rId11" w:history="1">
        <w:r w:rsidRPr="00454EAD">
          <w:rPr>
            <w:rStyle w:val="Hyperlink"/>
            <w:u w:val="none"/>
          </w:rPr>
          <w:t>Poison Center &amp; Chemical Registry</w:t>
        </w:r>
      </w:hyperlink>
      <w:r w:rsidRPr="00454EAD">
        <w:t xml:space="preserve"> , </w:t>
      </w:r>
      <w:hyperlink r:id="rId12" w:history="1">
        <w:r w:rsidRPr="00454EAD">
          <w:rPr>
            <w:rStyle w:val="Hyperlink"/>
            <w:u w:val="none"/>
          </w:rPr>
          <w:t>REACH</w:t>
        </w:r>
      </w:hyperlink>
      <w:r w:rsidRPr="00454EAD">
        <w:t xml:space="preserve"> , </w:t>
      </w:r>
      <w:hyperlink r:id="rId13" w:history="1">
        <w:r w:rsidRPr="00454EAD">
          <w:rPr>
            <w:rStyle w:val="Hyperlink"/>
            <w:u w:val="none"/>
          </w:rPr>
          <w:t>Toxicological Risk Assessment</w:t>
        </w:r>
      </w:hyperlink>
      <w:r w:rsidRPr="00454EAD">
        <w:t xml:space="preserve"> , </w:t>
      </w:r>
      <w:hyperlink r:id="rId14" w:history="1">
        <w:r w:rsidRPr="00454EAD">
          <w:rPr>
            <w:rStyle w:val="Hyperlink"/>
            <w:u w:val="none"/>
          </w:rPr>
          <w:t>Nitrosamine Impurities Risk Assessment</w:t>
        </w:r>
      </w:hyperlink>
      <w:r w:rsidRPr="00454EAD">
        <w:t xml:space="preserve"> , </w:t>
      </w:r>
      <w:hyperlink r:id="rId15" w:history="1">
        <w:r w:rsidRPr="00454EAD">
          <w:rPr>
            <w:rStyle w:val="Hyperlink"/>
            <w:u w:val="none"/>
          </w:rPr>
          <w:t>(Q)SAR Assessment</w:t>
        </w:r>
      </w:hyperlink>
      <w:r w:rsidRPr="00454EAD">
        <w:t xml:space="preserve"> , </w:t>
      </w:r>
      <w:hyperlink r:id="rId16" w:history="1">
        <w:r w:rsidRPr="00454EAD">
          <w:rPr>
            <w:rStyle w:val="Hyperlink"/>
            <w:u w:val="none"/>
          </w:rPr>
          <w:t>Toxicological Evaluation of Impurities and Risk Analysis</w:t>
        </w:r>
      </w:hyperlink>
      <w:r w:rsidRPr="00454EAD">
        <w:t xml:space="preserve"> </w:t>
      </w:r>
    </w:p>
    <w:p w14:paraId="45BB9395" w14:textId="77777777" w:rsidR="00501624" w:rsidRPr="00DB5440" w:rsidRDefault="00501624"/>
    <w:sectPr w:rsidR="00501624" w:rsidRPr="00DB5440"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E86"/>
    <w:multiLevelType w:val="multilevel"/>
    <w:tmpl w:val="A99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D452C"/>
    <w:multiLevelType w:val="multilevel"/>
    <w:tmpl w:val="BAC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64F43"/>
    <w:multiLevelType w:val="multilevel"/>
    <w:tmpl w:val="068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27D5D"/>
    <w:multiLevelType w:val="multilevel"/>
    <w:tmpl w:val="708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C0B1E"/>
    <w:multiLevelType w:val="multilevel"/>
    <w:tmpl w:val="456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A1C71"/>
    <w:multiLevelType w:val="multilevel"/>
    <w:tmpl w:val="89C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37DAA"/>
    <w:multiLevelType w:val="multilevel"/>
    <w:tmpl w:val="85F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25601"/>
    <w:multiLevelType w:val="multilevel"/>
    <w:tmpl w:val="38C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1120F"/>
    <w:multiLevelType w:val="multilevel"/>
    <w:tmpl w:val="F82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E724D"/>
    <w:multiLevelType w:val="multilevel"/>
    <w:tmpl w:val="93F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F1962"/>
    <w:multiLevelType w:val="multilevel"/>
    <w:tmpl w:val="EF0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F4197"/>
    <w:multiLevelType w:val="multilevel"/>
    <w:tmpl w:val="DF9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B3E83"/>
    <w:multiLevelType w:val="multilevel"/>
    <w:tmpl w:val="C798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30BCE"/>
    <w:multiLevelType w:val="multilevel"/>
    <w:tmpl w:val="13C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51E47"/>
    <w:multiLevelType w:val="multilevel"/>
    <w:tmpl w:val="6DD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956791">
    <w:abstractNumId w:val="14"/>
  </w:num>
  <w:num w:numId="2" w16cid:durableId="1520391639">
    <w:abstractNumId w:val="12"/>
  </w:num>
  <w:num w:numId="3" w16cid:durableId="1423837917">
    <w:abstractNumId w:val="6"/>
  </w:num>
  <w:num w:numId="4" w16cid:durableId="100420782">
    <w:abstractNumId w:val="11"/>
  </w:num>
  <w:num w:numId="5" w16cid:durableId="1019746200">
    <w:abstractNumId w:val="1"/>
  </w:num>
  <w:num w:numId="6" w16cid:durableId="1001005449">
    <w:abstractNumId w:val="9"/>
  </w:num>
  <w:num w:numId="7" w16cid:durableId="400909767">
    <w:abstractNumId w:val="3"/>
  </w:num>
  <w:num w:numId="8" w16cid:durableId="1644504071">
    <w:abstractNumId w:val="7"/>
  </w:num>
  <w:num w:numId="9" w16cid:durableId="99840736">
    <w:abstractNumId w:val="8"/>
  </w:num>
  <w:num w:numId="10" w16cid:durableId="1230727606">
    <w:abstractNumId w:val="0"/>
  </w:num>
  <w:num w:numId="11" w16cid:durableId="904998148">
    <w:abstractNumId w:val="4"/>
  </w:num>
  <w:num w:numId="12" w16cid:durableId="465927682">
    <w:abstractNumId w:val="2"/>
  </w:num>
  <w:num w:numId="13" w16cid:durableId="869495376">
    <w:abstractNumId w:val="10"/>
  </w:num>
  <w:num w:numId="14" w16cid:durableId="830683919">
    <w:abstractNumId w:val="5"/>
  </w:num>
  <w:num w:numId="15" w16cid:durableId="9559872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CE"/>
    <w:rsid w:val="00190950"/>
    <w:rsid w:val="001B7CFA"/>
    <w:rsid w:val="00220306"/>
    <w:rsid w:val="00236137"/>
    <w:rsid w:val="0037037B"/>
    <w:rsid w:val="00501624"/>
    <w:rsid w:val="006C0DC2"/>
    <w:rsid w:val="007B57BE"/>
    <w:rsid w:val="008C024C"/>
    <w:rsid w:val="0095074C"/>
    <w:rsid w:val="00A1567C"/>
    <w:rsid w:val="00DB0B87"/>
    <w:rsid w:val="00DB5440"/>
    <w:rsid w:val="00DB73CE"/>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5F94"/>
  <w15:chartTrackingRefBased/>
  <w15:docId w15:val="{239DB365-4474-40D0-9BAD-A22BDF2F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CE"/>
    <w:rPr>
      <w:rFonts w:eastAsiaTheme="majorEastAsia" w:cstheme="majorBidi"/>
      <w:color w:val="272727" w:themeColor="text1" w:themeTint="D8"/>
    </w:rPr>
  </w:style>
  <w:style w:type="paragraph" w:styleId="Title">
    <w:name w:val="Title"/>
    <w:basedOn w:val="Normal"/>
    <w:next w:val="Normal"/>
    <w:link w:val="TitleChar"/>
    <w:uiPriority w:val="10"/>
    <w:qFormat/>
    <w:rsid w:val="00DB7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CE"/>
    <w:pPr>
      <w:spacing w:before="160"/>
      <w:jc w:val="center"/>
    </w:pPr>
    <w:rPr>
      <w:i/>
      <w:iCs/>
      <w:color w:val="404040" w:themeColor="text1" w:themeTint="BF"/>
    </w:rPr>
  </w:style>
  <w:style w:type="character" w:customStyle="1" w:styleId="QuoteChar">
    <w:name w:val="Quote Char"/>
    <w:basedOn w:val="DefaultParagraphFont"/>
    <w:link w:val="Quote"/>
    <w:uiPriority w:val="29"/>
    <w:rsid w:val="00DB73CE"/>
    <w:rPr>
      <w:i/>
      <w:iCs/>
      <w:color w:val="404040" w:themeColor="text1" w:themeTint="BF"/>
    </w:rPr>
  </w:style>
  <w:style w:type="paragraph" w:styleId="ListParagraph">
    <w:name w:val="List Paragraph"/>
    <w:basedOn w:val="Normal"/>
    <w:uiPriority w:val="34"/>
    <w:qFormat/>
    <w:rsid w:val="00DB73CE"/>
    <w:pPr>
      <w:ind w:left="720"/>
      <w:contextualSpacing/>
    </w:pPr>
  </w:style>
  <w:style w:type="character" w:styleId="IntenseEmphasis">
    <w:name w:val="Intense Emphasis"/>
    <w:basedOn w:val="DefaultParagraphFont"/>
    <w:uiPriority w:val="21"/>
    <w:qFormat/>
    <w:rsid w:val="00DB73CE"/>
    <w:rPr>
      <w:i/>
      <w:iCs/>
      <w:color w:val="0F4761" w:themeColor="accent1" w:themeShade="BF"/>
    </w:rPr>
  </w:style>
  <w:style w:type="paragraph" w:styleId="IntenseQuote">
    <w:name w:val="Intense Quote"/>
    <w:basedOn w:val="Normal"/>
    <w:next w:val="Normal"/>
    <w:link w:val="IntenseQuoteChar"/>
    <w:uiPriority w:val="30"/>
    <w:qFormat/>
    <w:rsid w:val="00DB7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CE"/>
    <w:rPr>
      <w:i/>
      <w:iCs/>
      <w:color w:val="0F4761" w:themeColor="accent1" w:themeShade="BF"/>
    </w:rPr>
  </w:style>
  <w:style w:type="character" w:styleId="IntenseReference">
    <w:name w:val="Intense Reference"/>
    <w:basedOn w:val="DefaultParagraphFont"/>
    <w:uiPriority w:val="32"/>
    <w:qFormat/>
    <w:rsid w:val="00DB73CE"/>
    <w:rPr>
      <w:b/>
      <w:bCs/>
      <w:smallCaps/>
      <w:color w:val="0F4761" w:themeColor="accent1" w:themeShade="BF"/>
      <w:spacing w:val="5"/>
    </w:rPr>
  </w:style>
  <w:style w:type="character" w:styleId="Hyperlink">
    <w:name w:val="Hyperlink"/>
    <w:basedOn w:val="DefaultParagraphFont"/>
    <w:uiPriority w:val="99"/>
    <w:unhideWhenUsed/>
    <w:rsid w:val="00DB73CE"/>
    <w:rPr>
      <w:color w:val="467886" w:themeColor="hyperlink"/>
      <w:u w:val="single"/>
    </w:rPr>
  </w:style>
  <w:style w:type="character" w:styleId="UnresolvedMention">
    <w:name w:val="Unresolved Mention"/>
    <w:basedOn w:val="DefaultParagraphFont"/>
    <w:uiPriority w:val="99"/>
    <w:semiHidden/>
    <w:unhideWhenUsed/>
    <w:rsid w:val="00DB73CE"/>
    <w:rPr>
      <w:color w:val="605E5C"/>
      <w:shd w:val="clear" w:color="auto" w:fill="E1DFDD"/>
    </w:rPr>
  </w:style>
  <w:style w:type="table" w:styleId="TableGrid">
    <w:name w:val="Table Grid"/>
    <w:basedOn w:val="TableNormal"/>
    <w:uiPriority w:val="39"/>
    <w:rsid w:val="00DB5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cosmetics" TargetMode="External"/><Relationship Id="rId13" Type="http://schemas.openxmlformats.org/officeDocument/2006/relationships/hyperlink" Target="https://www.mavenrs.com/toxicological-risk-assess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venrs.com/regulatory-affairs" TargetMode="External"/><Relationship Id="rId12" Type="http://schemas.openxmlformats.org/officeDocument/2006/relationships/hyperlink" Target="https://www.mavenrs.com/reac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venrs.com/toxicological-evaluation-of-impurities-and-risk-analysis" TargetMode="External"/><Relationship Id="rId1" Type="http://schemas.openxmlformats.org/officeDocument/2006/relationships/numbering" Target="numbering.xml"/><Relationship Id="rId6" Type="http://schemas.openxmlformats.org/officeDocument/2006/relationships/hyperlink" Target="Url:-" TargetMode="External"/><Relationship Id="rId11" Type="http://schemas.openxmlformats.org/officeDocument/2006/relationships/hyperlink" Target="https://www.mavenrs.com/poison-center-chemical-registry" TargetMode="External"/><Relationship Id="rId5" Type="http://schemas.openxmlformats.org/officeDocument/2006/relationships/hyperlink" Target="https://www.mavenrs.com/blog/understanding-the-fdas-channels-of-trade-provision-guidance-on-methyl-parathion-residues-safety-assessments-and-regulatory-compliance" TargetMode="External"/><Relationship Id="rId15" Type="http://schemas.openxmlformats.org/officeDocument/2006/relationships/hyperlink" Target="https://www.mavenrs.com/qsar-assessment" TargetMode="External"/><Relationship Id="rId10" Type="http://schemas.openxmlformats.org/officeDocument/2006/relationships/hyperlink" Target="https://www.mavenrs.com/chemicals" TargetMode="External"/><Relationship Id="rId4" Type="http://schemas.openxmlformats.org/officeDocument/2006/relationships/webSettings" Target="webSettings.xml"/><Relationship Id="rId9" Type="http://schemas.openxmlformats.org/officeDocument/2006/relationships/hyperlink" Target="https://www.mavenrs.com/regulatory-compliance" TargetMode="External"/><Relationship Id="rId14" Type="http://schemas.openxmlformats.org/officeDocument/2006/relationships/hyperlink" Target="https://www.mavenrs.com/nitrosamine-impur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1076</Words>
  <Characters>7579</Characters>
  <Application>Microsoft Office Word</Application>
  <DocSecurity>0</DocSecurity>
  <Lines>210</Lines>
  <Paragraphs>192</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2026-04-01T04:47:00Z</dcterms:created>
  <dcterms:modified xsi:type="dcterms:W3CDTF">2026-04-09T12:05:00Z</dcterms:modified>
</cp:coreProperties>
</file>