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知条件测试说明</w:t>
      </w:r>
    </w:p>
    <w:p>
      <w:pPr>
        <w:pStyle w:val="Subtitle"/>
      </w:pPr>
      <w:r>
        <w:t>同花顺校招作业 题目02  功能正确性与异常场景验证</w:t>
      </w:r>
    </w:p>
    <w:p>
      <w:r>
        <w:t>测试目标是验证自然语言条件能被安全转换和执行，筛选结果可由原始数据与规则复算，异常不会被静默转成正常结论。测试覆盖规则层、数据计算、API适配、模型响应、交互状态和生产部署差异。</w:t>
      </w:r>
    </w:p>
    <w:p>
      <w:r>
        <w:t>当前本地重新执行59项自动化测试，59通过、0失败、0跳过。功能版本 f277e59 的 GitHub Actions 同时通过 TypeScript 检查与生产构建。以下区分自动化回归、真实供应商请求和浏览器实操，避免将模拟测试等同于生产可用性。</w:t>
      </w:r>
    </w:p>
    <w:p>
      <w:pPr>
        <w:pStyle w:val="Heading2"/>
      </w:pPr>
      <w:r>
        <w:t>自动化范围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794"/>
        <w:gridCol w:w="5783"/>
      </w:tblGrid>
      <w:tr>
        <w:trPr>
          <w:cantSplit/>
          <w:tblHeader/>
        </w:trPr>
        <w:tc>
          <w:tcPr>
            <w:tcW w:type="dxa" w:w="3061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测试文件</w:t>
            </w:r>
          </w:p>
        </w:tc>
        <w:tc>
          <w:tcPr>
            <w:tcW w:type="dxa" w:w="794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数量</w:t>
            </w:r>
          </w:p>
        </w:tc>
        <w:tc>
          <w:tcPr>
            <w:tcW w:type="dxa" w:w="5783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主要验证对象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screener.test.ts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边界比较、三态结果、回归数据与独立复算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strategy.test.ts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增量修改、区间、澄清、交集与规则保留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v4.test.ts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ATR/RSI、上穿事件、板块并集及多轮语义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v5.test.ts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冷启动、时间截止、跨组冲突与下架字段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api.test.mjs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解析API、模型异常、证据接口输入检查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provider.test.ts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业务码、鉴权、重试与日线校验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ifind.test.ts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MCP握手、会话、SSE、工具与鉴权错误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institution.test.ts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披露天数完整性与去重等底层函数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market-data.test.ts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均线与量能基准、历史不足和截止日期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plan-feedback.test.ts</w:t>
            </w:r>
          </w:p>
        </w:tc>
        <w:tc>
          <w:tcPr>
            <w:tcW w:type="dxa" w:w="79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7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确认前置校验、方案隔离与修改对比</w:t>
            </w:r>
          </w:p>
        </w:tc>
      </w:tr>
    </w:tbl>
    <w:p>
      <w:pPr>
        <w:spacing w:after="0"/>
      </w:pPr>
    </w:p>
    <w:p>
      <w:r>
        <w:t>测试条目可以包含多个断言，59不是代码覆盖率。旧公开快照仅作为固定回归样本；部分历史底层函数的测试仍保留，不表示对应指标已在当前产品开放。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验证环境 Node.js 24  TypeScript 5.9  React 19  vinext 1.0.0-beta.5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CI https://github.com/rl3591-2170/AI-stock-selecting/actions/runs/37388943401</w:t>
      </w:r>
    </w:p>
    <w:p>
      <w:r>
        <w:br w:type="page"/>
      </w:r>
    </w:p>
    <w:p>
      <w:pPr>
        <w:pStyle w:val="Heading1"/>
      </w:pPr>
      <w:r>
        <w:t>主链路与交互状态测试</w:t>
      </w:r>
    </w:p>
    <w:p>
      <w:r>
        <w:t>主链路按“输入—解析—校验—确认—筛选—解释”拆分检查。关键不变量是：确认前已执行方案不变，确认时使用同一份新方案，结果能从逐条件判断重建。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4932"/>
        <w:gridCol w:w="2268"/>
      </w:tblGrid>
      <w:tr>
        <w:trPr>
          <w:cantSplit/>
          <w:tblHeader/>
        </w:trPr>
        <w:tc>
          <w:tcPr>
            <w:tcW w:type="dxa" w:w="2438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4932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断言或验收标准</w:t>
            </w:r>
          </w:p>
        </w:tc>
        <w:tc>
          <w:tcPr>
            <w:tcW w:type="dxa" w:w="2268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证据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修改单个上限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保留下限与未提及的另一模型条件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strategy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多个子句及亿元单位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区间同时生成两侧边界；2亿元转换为2×10⁸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strategy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含糊目标及多轮追问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先澄清；保留原始板块与范围；不提前改规则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strategy / v4 / API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两者交集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交集名单等于两个独立名单的集合交集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strategy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规则版本已变化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旧提案拒绝执行，不覆盖新编辑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plan-feedback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确认一次同步更新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PE阈值与执行结果同时改变，没有残留待执行状态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浏览器实操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相同条件及零结果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不重复添加；明确显示重执行或零候选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浏览器实操 / screener</w:t>
            </w:r>
          </w:p>
        </w:tc>
      </w:tr>
    </w:tbl>
    <w:p>
      <w:pPr>
        <w:spacing w:after="0"/>
      </w:pPr>
    </w:p>
    <w:p>
      <w:pPr>
        <w:pStyle w:val="Heading2"/>
      </w:pPr>
      <w:r>
        <w:t>浏览器实际操作记录</w:t>
      </w:r>
    </w:p>
    <w:p>
      <w:r>
        <w:t>输入“PE上限设为20”，解析对比显示60→20，确认前输入框仍为60。点击“确认并筛选”后阈值为20，入选由5只变为2只，PE条件高亮并标记已更新；不存在“条件尚未执行”的残留提示。</w:t>
      </w:r>
    </w:p>
    <w:p>
      <w:r>
        <w:t>再次输入相同要求，页面显示无需重复修改，确认后反馈2→2。随后改为“只看半导体或PCB”，板块范围自动展开并高亮，结果2→0。上述数量只对应当时数据批次，不作为固定预期值用于未来行情验收。</w:t>
      </w:r>
    </w:p>
    <w:p>
      <w:pPr>
        <w:pStyle w:val="Heading2"/>
      </w:pPr>
      <w:r>
        <w:t>移动端与展示一致性</w:t>
      </w:r>
    </w:p>
    <w:p>
      <w:r>
        <w:t>在390px宽度验证页面 scrollWidth=390，无整页横向溢出；交集选择后同时呈现基本面与波段两组条件。修改后的反馈区可聚焦并滚动到视野内，字段高亮和结果数量相互对应。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实现 lib/plan-feedback.ts  components/RuleEditor.tsx  app/page.tsx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既有验收记录 docs/TESTING.md  一步确认与反馈回归</w:t>
      </w:r>
    </w:p>
    <w:p>
      <w:r>
        <w:br w:type="page"/>
      </w:r>
    </w:p>
    <w:p>
      <w:pPr>
        <w:pStyle w:val="Heading1"/>
      </w:pPr>
      <w:r>
        <w:t>规则语义与金融计算测试</w:t>
      </w:r>
    </w:p>
    <w:p>
      <w:pPr>
        <w:pStyle w:val="Heading2"/>
      </w:pPr>
      <w:r>
        <w:t>筛选采用三态判断</w:t>
      </w:r>
    </w:p>
    <w:p>
      <w:r>
        <w:t>单条条件只产生通过、失败或未知。任一已知条件失败则股票归入排除，同时保留其他未知项；没有已知失败但存在缺失则归入数据不足；全部通过才入选。不能把缺失值当作0，也不能把不适用的估值当作低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628"/>
        <w:gridCol w:w="3969"/>
      </w:tblGrid>
      <w:tr>
        <w:trPr>
          <w:cantSplit/>
          <w:tblHeader/>
        </w:trPr>
        <w:tc>
          <w:tcPr>
            <w:tcW w:type="dxa" w:w="2041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验证点</w:t>
            </w:r>
          </w:p>
        </w:tc>
        <w:tc>
          <w:tcPr>
            <w:tcW w:type="dxa" w:w="3628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代表输入或构造</w:t>
            </w:r>
          </w:p>
        </w:tc>
        <w:tc>
          <w:tcPr>
            <w:tcW w:type="dxa" w:w="3969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预期与已验证结果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严格与包含边界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PE实际20；条件&lt;20与≤20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分别排除与入选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矛盾上下限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PE&gt;20且≤20；PE≥20且≤20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前者冲突；后者允许等值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非正估值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PE=-5，条件PE&lt;20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标记不适用，不判便宜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有限域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RSI&gt;100；机构5日计数&gt;5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无法满足的边界被拒绝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放量基准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当日量／此前20日均量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基准窗口排除当日；分母0为未知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突破与上穿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当日高点或近期均线穿越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前高窗口不含当日；上穿不等同当前站上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极端价格路径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横盘、单边上涨、下跌、跳空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验证Wilder ATR/RSI与无效历史处理</w:t>
            </w:r>
          </w:p>
        </w:tc>
      </w:tr>
    </w:tbl>
    <w:p>
      <w:pPr>
        <w:spacing w:after="0"/>
      </w:pPr>
    </w:p>
    <w:p>
      <w:pPr>
        <w:pStyle w:val="Heading2"/>
      </w:pPr>
      <w:r>
        <w:t>避免同一实现自证正确</w:t>
      </w:r>
    </w:p>
    <w:p>
      <w:r>
        <w:t>波动率、最大回撤及多项量价指标使用保留的观测序列独立复算，再与产品指标比较。波动率按收益率样本标准差并年化；最大回撤用独立的前后价格配对方式核对。相关断言误差阈值为10⁻⁹，部分构造量能测试为10⁻¹⁰。</w:t>
      </w:r>
    </w:p>
    <w:p>
      <w:r>
        <w:t>测试同时使用构造序列与固定回归样本。构造序列便于知道预期结果，真实形状样本用于发现窗口偏移与字段映射错误；不能仅以界面“看起来合理”作为通过依据。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对应测试 screener.test.ts  market-data.test.ts  strategy.test.ts  v4.test.ts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公式实现 lib/market-data.ts  lib/indicators.ts  lib/screener.ts</w:t>
      </w:r>
    </w:p>
    <w:p>
      <w:r>
        <w:br w:type="page"/>
      </w:r>
    </w:p>
    <w:p>
      <w:pPr>
        <w:pStyle w:val="Heading1"/>
      </w:pPr>
      <w:r>
        <w:t>数据缺失与接口失败测试</w:t>
      </w:r>
    </w:p>
    <w:p>
      <w:r>
        <w:t>接口测试通过注入 fetcher 与等待函数模拟失败，断言请求次数、错误类型及数据是否进入计算。真实接口验证单独记录，模拟返回不计为生产取数成功。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685"/>
        <w:gridCol w:w="3912"/>
      </w:tblGrid>
      <w:tr>
        <w:trPr>
          <w:cantSplit/>
          <w:tblHeader/>
        </w:trPr>
        <w:tc>
          <w:tcPr>
            <w:tcW w:type="dxa" w:w="2041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异常类别</w:t>
            </w:r>
          </w:p>
        </w:tc>
        <w:tc>
          <w:tcPr>
            <w:tcW w:type="dxa" w:w="3685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测试方法</w:t>
            </w:r>
          </w:p>
        </w:tc>
        <w:tc>
          <w:tcPr>
            <w:tcW w:type="dxa" w:w="3912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系统行为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缺少授权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空key并记录是否发出请求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本地拒绝，请求次数为0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HTTP成功但业务失败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200响应含业务码2003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抛出业务错误并保留请求号；不重试鉴权错误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临时业务错误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连续返回4001，替换等待函数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最多3次请求后失败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非法日线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构造null或不完整价格字段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数据校验失败，不生成替代值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历史不足或截止不符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短序列、未来或过旧截止日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拒绝不一致的历史计算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机构漏日与榜单重叠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缺少1天；重复单日或三日榜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漏日不得生成0；完整数据按单日去重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MCP响应异常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会话、SSE、工具isError、401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握手和会话受检；错误不伪装成证据成功</w:t>
            </w:r>
          </w:p>
        </w:tc>
      </w:tr>
    </w:tbl>
    <w:p>
      <w:pPr>
        <w:spacing w:after="0"/>
      </w:pPr>
    </w:p>
    <w:p>
      <w:pPr>
        <w:pStyle w:val="Heading2"/>
      </w:pPr>
      <w:r>
        <w:t>时间与披露期核验</w:t>
      </w:r>
    </w:p>
    <w:p>
      <w:r>
        <w:t>上海时间15:30前不使用当日日线，以接口实际提供的最近完整日作为筛选日。测试检查财报披露日与报告期均不晚于筛选截止，避免把尚未披露的信息提前纳入。财报或复权历史仍可能修订，因此未将当前数据声称为严格历史时点数据库。</w:t>
      </w:r>
    </w:p>
    <w:p>
      <w:pPr>
        <w:pStyle w:val="Heading2"/>
      </w:pPr>
      <w:r>
        <w:t>运行时的失败边界</w:t>
      </w:r>
    </w:p>
    <w:p>
      <w:r>
        <w:t>单股失败保留该股未知项；初始化失败时保留上次官方数据与原时间。扶摇每次请求最多等待20秒，对可重试错误按0.5秒、1秒退避，最多3次。该请求上限不是全量加载的性能承诺。</w:t>
      </w:r>
    </w:p>
    <w:p>
      <w:r>
        <w:t>市场上下文约缓存60秒，单股约5分钟，失败缓存移除；缓存为进程内优化，不提供多实例统一配额控制。机构天数必须完整取得统计窗口后才能产生；未上榜不代表未交易。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对应测试 provider.test.ts  institution.test.ts  ifind.test.ts  v5.test.ts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实现 lib/providers/fuyao.ts  lib/official-data.ts  app/api/stock-data/route.ts</w:t>
      </w:r>
    </w:p>
    <w:p>
      <w:r>
        <w:br w:type="page"/>
      </w:r>
    </w:p>
    <w:p>
      <w:pPr>
        <w:pStyle w:val="Heading1"/>
      </w:pPr>
      <w:r>
        <w:t>AI异常与合规边界测试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628"/>
        <w:gridCol w:w="3969"/>
      </w:tblGrid>
      <w:tr>
        <w:trPr>
          <w:cantSplit/>
          <w:tblHeader/>
        </w:trPr>
        <w:tc>
          <w:tcPr>
            <w:tcW w:type="dxa" w:w="2041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3628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检查方式</w:t>
            </w:r>
          </w:p>
        </w:tc>
        <w:tc>
          <w:tcPr>
            <w:tcW w:type="dxa" w:w="3969"/>
            <w:vAlign w:val="center"/>
            <w:shd w:fill="E7EC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/>
                <w:color w:val="000000"/>
                <w:sz w:val="20"/>
              </w:rPr>
              <w:t>结果与限制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模型限流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模拟上游429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解析接口502，现有规则不变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非法JSON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模拟非JSON正文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返回502，不写入新方案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混合回答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proposal同时带未澄清问题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结构校验拒绝执行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模型未配置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清空模型环境变量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明确语法可用；复杂表达503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坏请求及未知代码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错误JSON、空方案、样本池外代码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返回400，不访问任意目标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保证收益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输入“保证收益”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返回422；不输出承诺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过期或空组提案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改变规则基线或删除全部条件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确认前拒绝，不覆盖现有状态</w:t>
            </w:r>
          </w:p>
        </w:tc>
      </w:tr>
    </w:tbl>
    <w:p>
      <w:pPr>
        <w:spacing w:after="0"/>
      </w:pPr>
    </w:p>
    <w:p>
      <w:pPr>
        <w:pStyle w:val="Heading2"/>
      </w:pPr>
      <w:r>
        <w:t>语义守卫不依赖模型自我解释</w:t>
      </w:r>
    </w:p>
    <w:p>
      <w:r>
        <w:t>板块OR与均线严格边界用独立代码核对。真实模型一次将“站上”译成≥0后被422拦截；这属于系统成功阻断错误，不计入模型正确率。对于无可验证指标、连续季度增长等超出当前能力的要求，不把近似字段悄悄替代原目标。</w:t>
      </w:r>
    </w:p>
    <w:p>
      <w:pPr>
        <w:pStyle w:val="Heading2"/>
      </w:pPr>
      <w:r>
        <w:t>保留状态与错误可见性</w:t>
      </w:r>
    </w:p>
    <w:p>
      <w:r>
        <w:t>模型异常、结构错误或语义校验失败时，页面明确显示未更新；用户原输入保留可重试。澄清未结束时不能确认。确认前校验两组冲突，即使当前显示波段视图，也不会放过基本面组中的互斥边界。</w:t>
      </w:r>
    </w:p>
    <w:p>
      <w:pPr>
        <w:pStyle w:val="Heading2"/>
      </w:pPr>
      <w:r>
        <w:t>安全控制与未覆盖范围</w:t>
      </w:r>
    </w:p>
    <w:p>
      <w:r>
        <w:t>模型输出只能使用字段白名单，不允许以表达式作为运算符执行。测试包括非法字段、非有限数值、未知运算符、重复编号、错误分组和下架指标回流。密钥仅在服务端使用，受限原始回执不随公开仓库提交。</w:t>
      </w:r>
    </w:p>
    <w:p>
      <w:r>
        <w:t>本次覆盖的是输入校验与已识别的合规表达；没有完成系统性提示注入红队、渗透测试或生产压力测试。前置文本规则不能保证拦截所有绕写，仍需扩大语义测试集。报告不把这些尚未验证的能力写为通过。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对应测试 api.test.mjs  v5.test.ts  plan-feedback.test.ts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协议实现 app/api/interpret/route.ts  lib/intent-workflow.ts</w:t>
      </w:r>
    </w:p>
    <w:p>
      <w:r>
        <w:br w:type="page"/>
      </w:r>
    </w:p>
    <w:p>
      <w:pPr>
        <w:pStyle w:val="Heading1"/>
      </w:pPr>
      <w:r>
        <w:t>生产验证与复现方法</w:t>
      </w:r>
    </w:p>
    <w:p>
      <w:pPr>
        <w:pStyle w:val="Heading2"/>
      </w:pPr>
      <w:r>
        <w:t>真实接口与环境差异</w:t>
      </w:r>
    </w:p>
    <w:p>
      <w:r>
        <w:t>既有生产验收取得扶摇50/50只股票及50/50只最新报价；机构验证完整覆盖20个交易日。该次最近完整交易日为2026-09-30。iFinD本地财报查询曾返回200，但生产出现522，所以当前产品移除了其补充入口，不把适配器存在视为生产接通。</w:t>
      </w:r>
    </w:p>
    <w:p>
      <w:r>
        <w:t>曾发生Worker冷启动随机编号错误，导致API尚未访问供应商就失败。修正后新增导入期禁止随机操作和网络IO的测试。部署显示成功仅说明发布完成，不能代替API响应和用户操作验证。</w:t>
      </w:r>
    </w:p>
    <w:p>
      <w:pPr>
        <w:pStyle w:val="Heading2"/>
      </w:pPr>
      <w:r>
        <w:t>本轮验收结论</w:t>
      </w:r>
    </w:p>
    <w:p>
      <w:r>
        <w:t>59项本地自动化重新通过；既有功能版本CI的类型检查与构建通过。公开权限已设置为持链接可访问；无登录凭证请求首页、明确条件解析及行情上下文均返回200。公开检查与历史50股验收属于不同批次，不合并宣称“本轮全部线上场景均通过”。</w:t>
      </w:r>
    </w:p>
    <w:p>
      <w:pPr>
        <w:pStyle w:val="Heading2"/>
      </w:pPr>
      <w:r>
        <w:t>如何复现</w:t>
      </w:r>
    </w:p>
    <w:p>
      <w:r>
        <w:t>使用Node.js 24，npm ci安装依赖，填写.env.local中的扶摇与DeepSeek服务端配置。先执行全部测试，再分别检查类型和生产构建的退出码，避免只看最后一条命令而漏掉前面失败。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node --experimental-strip-types --test tests/*.test.ts tests/*.test.mjs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npx tsc --noEmit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npm run build</w:t>
      </w:r>
    </w:p>
    <w:p>
      <w:r>
        <w:t>需要复查真实上游时，启动已配置环境变量的服务，创建work目录，再运行verify-v5.ts与check-v5-workflow.mjs。真实请求会消耗供应商额度，原始授权回执只保存到被忽略的work目录。</w:t>
      </w:r>
    </w:p>
    <w:p>
      <w:pPr>
        <w:pStyle w:val="Heading2"/>
      </w:pPr>
      <w:r>
        <w:t>后续测试计划</w:t>
      </w:r>
    </w:p>
    <w:p>
      <w:r>
        <w:t>优先扩充真实模型的否定、多条件组合、跨模型修改及回归失败样本；新接入机构集中度、龙虎榜上榜次数、筹码集中价位估算前，先增加统计口径、窗口、去重与误差用例。全市场规模、跨实例配额与性能需要单独测试，不以当前50只样本结果外推。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测试源码 tests/  验收说明 docs/TESTING.md  模型记录 docs/AI_LOG.md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功能基线 f277e59d2162cacc8c605b333d817adc3ec40437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源码 https://github.com/rl3591-2170/AI-stock-selecting</w:t>
      </w:r>
    </w:p>
    <w:p>
      <w:pPr>
        <w:spacing w:after="100" w:line="260" w:lineRule="exact"/>
      </w:pPr>
      <w:r>
        <w:rPr>
          <w:rFonts w:ascii="Arial" w:hAnsi="Arial" w:eastAsia="Hiragino Sans GB"/>
          <w:b w:val="0"/>
          <w:color w:val="000000"/>
          <w:sz w:val="18"/>
        </w:rPr>
        <w:t>公开产品 https://stock-lens-strategy-lab.ruoshuilei.chatgpt.site/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000000"/>
        <w:sz w:val="18"/>
      </w:rPr>
      <w:t xml:space="preserve">第 </w:t>
    </w:r>
    <w:fldSimple w:instr="PAGE"/>
    <w:r>
      <w:rPr>
        <w:rFonts w:ascii="Arial" w:hAnsi="Arial" w:eastAsia="Hiragino Sans GB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Hiragino Sans GB"/>
        <w:b w:val="0"/>
        <w:color w:val="000000"/>
        <w:sz w:val="18"/>
      </w:rPr>
      <w:t>知条件  自然语言选股与策略解释器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40" w:lineRule="exact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460" w:lineRule="exact"/>
      <w:outlineLvl w:val="0"/>
    </w:pPr>
    <w:rPr>
      <w:rFonts w:cstheme="majorBidi" w:eastAsia="Hiragino Sans GB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exact"/>
      <w:outlineLvl w:val="1"/>
    </w:pPr>
    <w:rPr>
      <w:rFonts w:cstheme="majorBidi" w:eastAsia="Hiragino Sans GB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40" w:lineRule="exact"/>
      <w:outlineLvl w:val="2"/>
    </w:pPr>
    <w:rPr>
      <w:rFonts w:cstheme="majorBidi" w:eastAsia="Hiragino Sans GB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40" w:lineRule="exact"/>
      <w:contextualSpacing/>
    </w:pPr>
    <w:rPr>
      <w:rFonts w:cstheme="majorBidi" w:eastAsia="Hiragino Sans GB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340" w:lineRule="exact"/>
    </w:pPr>
    <w:rPr>
      <w:rFonts w:cstheme="majorBidi" w:eastAsia="Hiragino Sans GB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iragino Sans GB"/>
        <w:b/>
        <w:bCs/>
      </w:rPr>
    </w:tblStylePr>
    <w:tblStylePr w:type="lastCol">
      <w:rPr>
        <w:rFonts w:cstheme="majorBidi" w:eastAsia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知条件测试说明</dc:title>
  <dc:subject>同花顺校招作业 题目02</dc:subject>
  <dc:creator>项目候选人</dc:creator>
  <cp:keywords>自然语言选股 AI验证 确定性规则 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