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090"/>
          <w:sz w:val="48"/>
          <w:szCs w:val="48"/>
        </w:rPr>
        <w:t xml:space="preserve">XGBoost Model Report</w:t>
      </w:r>
    </w:p>
    <w:p>
      <w:pPr>
        <w:spacing w:after="40"/>
        <w:jc w:val="center"/>
      </w:pPr>
      <w:r>
        <w:rPr>
          <w:rFonts w:ascii="Arial" w:cs="Arial" w:eastAsia="Arial" w:hAnsi="Arial"/>
          <w:color w:val="666666"/>
          <w:sz w:val="26"/>
          <w:szCs w:val="26"/>
        </w:rPr>
        <w:t xml:space="preserve">Predicting Startup Exit Outcomes Using Network Features</w:t>
      </w:r>
    </w:p>
    <w:p>
      <w:pPr>
        <w:spacing w:after="400"/>
        <w:jc w:val="center"/>
      </w:pPr>
      <w:r>
        <w:rPr>
          <w:rFonts w:ascii="Arial" w:cs="Arial" w:eastAsia="Arial" w:hAnsi="Arial"/>
          <w:color w:val="888888"/>
          <w:sz w:val="22"/>
          <w:szCs w:val="22"/>
        </w:rPr>
        <w:t xml:space="preserve">Dataset: 6,704 US AI Startups (2015–2025) | April 2026</w:t>
      </w:r>
    </w:p>
    <w:p>
      <w:pPr>
        <w:pStyle w:val="Heading1"/>
        <w:spacing w:after="150" w:before="300"/>
      </w:pPr>
      <w:r>
        <w:rPr>
          <w:rFonts w:ascii="Arial" w:cs="Arial" w:eastAsia="Arial" w:hAnsi="Arial"/>
          <w:b/>
          <w:bCs/>
        </w:rPr>
        <w:t xml:space="preserve">1. Introduction</w:t>
      </w:r>
    </w:p>
    <w:p>
      <w:pPr>
        <w:spacing w:after="120" w:line="276"/>
      </w:pPr>
      <w:r>
        <w:rPr>
          <w:rFonts w:ascii="Arial" w:cs="Arial" w:eastAsia="Arial" w:hAnsi="Arial"/>
          <w:sz w:val="22"/>
          <w:szCs w:val="22"/>
        </w:rPr>
        <w:t xml:space="preserve">This report documents the XGBoost gradient boosting model trained to predict startup exit outcomes (IPO, acquisition, or unicorn valuation) for US-based AI companies. The model uses network-derived features from a heterogeneous investment graph, combined with education and employment network features derived from founder backgrounds.</w:t>
      </w:r>
    </w:p>
    <w:p>
      <w:pPr>
        <w:spacing w:after="120" w:line="276"/>
      </w:pPr>
      <w:r>
        <w:rPr>
          <w:rFonts w:ascii="Arial" w:cs="Arial" w:eastAsia="Arial" w:hAnsi="Arial"/>
          <w:sz w:val="22"/>
          <w:szCs w:val="22"/>
        </w:rPr>
        <w:t xml:space="preserve">The dataset contains 6,704 companies with funding of at least $1 million, of which 6,593 have labeled outcomes (16.9% success rate). The data is split 80/20 into training (5,274) and test (1,319) sets using stratified sampling.</w:t>
      </w:r>
    </w:p>
    <w:p>
      <w:pPr>
        <w:pStyle w:val="Heading1"/>
        <w:spacing w:after="150" w:before="300"/>
      </w:pPr>
      <w:r>
        <w:rPr>
          <w:rFonts w:ascii="Arial" w:cs="Arial" w:eastAsia="Arial" w:hAnsi="Arial"/>
          <w:b/>
          <w:bCs/>
        </w:rPr>
        <w:t xml:space="preserve">2. Model Configuration</w:t>
      </w:r>
    </w:p>
    <w:p>
      <w:pPr>
        <w:pStyle w:val="Heading2"/>
        <w:spacing w:after="150" w:before="300"/>
      </w:pPr>
      <w:r>
        <w:rPr>
          <w:rFonts w:ascii="Arial" w:cs="Arial" w:eastAsia="Arial" w:hAnsi="Arial"/>
          <w:b/>
          <w:bCs/>
        </w:rPr>
        <w:t xml:space="preserve">2.1 Algorithm</w:t>
      </w:r>
    </w:p>
    <w:p>
      <w:pPr>
        <w:spacing w:after="120" w:line="276"/>
      </w:pPr>
      <w:r>
        <w:rPr>
          <w:rFonts w:ascii="Arial" w:cs="Arial" w:eastAsia="Arial" w:hAnsi="Arial"/>
          <w:sz w:val="22"/>
          <w:szCs w:val="22"/>
        </w:rPr>
        <w:t xml:space="preserve">We use XGBoost (eXtreme Gradient Boosting), a regularized gradient boosting framework that builds an ensemble of decision trees sequentially, where each new tree corrects errors from the previous ensemble. XGBoost was chosen for three reasons:</w:t>
      </w:r>
    </w:p>
    <w:p>
      <w:pPr>
        <w:pStyle w:val="ListParagraph"/>
        <w:numPr>
          <w:ilvl w:val="0"/>
          <w:numId w:val="2"/>
        </w:numPr>
        <w:spacing w:after="80"/>
      </w:pPr>
      <w:r>
        <w:rPr>
          <w:rFonts w:ascii="Arial" w:cs="Arial" w:eastAsia="Arial" w:hAnsi="Arial"/>
          <w:sz w:val="22"/>
          <w:szCs w:val="22"/>
        </w:rPr>
        <w:t xml:space="preserve">Native handling of missing values </w:t>
      </w:r>
      <w:r>
        <w:rPr>
          <w:rFonts w:ascii="Arial" w:cs="Arial" w:eastAsia="Arial" w:hAnsi="Arial"/>
          <w:sz w:val="22"/>
          <w:szCs w:val="22"/>
        </w:rPr>
        <w:t xml:space="preserve">— critical given 35–40% missing education/job data. XGBoost learns optimal split directions for NaN values during training.</w:t>
      </w:r>
    </w:p>
    <w:p>
      <w:pPr>
        <w:pStyle w:val="ListParagraph"/>
        <w:numPr>
          <w:ilvl w:val="0"/>
          <w:numId w:val="2"/>
        </w:numPr>
        <w:spacing w:after="80"/>
      </w:pPr>
      <w:r>
        <w:rPr>
          <w:rFonts w:ascii="Arial" w:cs="Arial" w:eastAsia="Arial" w:hAnsi="Arial"/>
          <w:sz w:val="22"/>
          <w:szCs w:val="22"/>
        </w:rPr>
        <w:t xml:space="preserve">Strong performance on tabular data </w:t>
      </w:r>
      <w:r>
        <w:rPr>
          <w:rFonts w:ascii="Arial" w:cs="Arial" w:eastAsia="Arial" w:hAnsi="Arial"/>
          <w:sz w:val="22"/>
          <w:szCs w:val="22"/>
        </w:rPr>
        <w:t xml:space="preserve">— consistently outperforms neural networks on structured datasets of this size.</w:t>
      </w:r>
    </w:p>
    <w:p>
      <w:pPr>
        <w:pStyle w:val="ListParagraph"/>
        <w:numPr>
          <w:ilvl w:val="0"/>
          <w:numId w:val="2"/>
        </w:numPr>
        <w:spacing w:after="80"/>
      </w:pPr>
      <w:r>
        <w:rPr>
          <w:rFonts w:ascii="Arial" w:cs="Arial" w:eastAsia="Arial" w:hAnsi="Arial"/>
          <w:sz w:val="22"/>
          <w:szCs w:val="22"/>
        </w:rPr>
        <w:t xml:space="preserve">Built-in class imbalance handling </w:t>
      </w:r>
      <w:r>
        <w:rPr>
          <w:rFonts w:ascii="Arial" w:cs="Arial" w:eastAsia="Arial" w:hAnsi="Arial"/>
          <w:sz w:val="22"/>
          <w:szCs w:val="22"/>
        </w:rPr>
        <w:t xml:space="preserve">— via the scale_pos_weight parameter (set to 4.90, the ratio of negative to positive samples).</w:t>
      </w:r>
    </w:p>
    <w:p>
      <w:pPr>
        <w:pStyle w:val="Heading2"/>
        <w:spacing w:after="150" w:before="300"/>
      </w:pPr>
      <w:r>
        <w:rPr>
          <w:rFonts w:ascii="Arial" w:cs="Arial" w:eastAsia="Arial" w:hAnsi="Arial"/>
          <w:b/>
          <w:bCs/>
        </w:rPr>
        <w:t xml:space="preserve">2.2 Hyperparameters</w:t>
      </w:r>
    </w:p>
    <w:p>
      <w:pPr>
        <w:pStyle w:val="ListParagraph"/>
        <w:numPr>
          <w:ilvl w:val="0"/>
          <w:numId w:val="2"/>
        </w:numPr>
        <w:spacing w:after="60"/>
      </w:pPr>
      <w:r>
        <w:rPr>
          <w:rFonts w:ascii="Courier New" w:cs="Courier New" w:eastAsia="Courier New" w:hAnsi="Courier New"/>
          <w:sz w:val="20"/>
          <w:szCs w:val="20"/>
        </w:rPr>
        <w:t xml:space="preserve">max_depth = 6</w:t>
      </w:r>
      <w:r>
        <w:rPr>
          <w:rFonts w:ascii="Arial" w:cs="Arial" w:eastAsia="Arial" w:hAnsi="Arial"/>
          <w:sz w:val="22"/>
          <w:szCs w:val="22"/>
        </w:rPr>
        <w:t xml:space="preserve"> — Maximum tree depth. Limits model complexity to prevent overfitting.</w:t>
      </w:r>
    </w:p>
    <w:p>
      <w:pPr>
        <w:pStyle w:val="ListParagraph"/>
        <w:numPr>
          <w:ilvl w:val="0"/>
          <w:numId w:val="2"/>
        </w:numPr>
        <w:spacing w:after="60"/>
      </w:pPr>
      <w:r>
        <w:rPr>
          <w:rFonts w:ascii="Courier New" w:cs="Courier New" w:eastAsia="Courier New" w:hAnsi="Courier New"/>
          <w:sz w:val="20"/>
          <w:szCs w:val="20"/>
        </w:rPr>
        <w:t xml:space="preserve">learning_rate = 0.1</w:t>
      </w:r>
      <w:r>
        <w:rPr>
          <w:rFonts w:ascii="Arial" w:cs="Arial" w:eastAsia="Arial" w:hAnsi="Arial"/>
          <w:sz w:val="22"/>
          <w:szCs w:val="22"/>
        </w:rPr>
        <w:t xml:space="preserve"> — Step size shrinkage. Smaller values = more conservative learning.</w:t>
      </w:r>
    </w:p>
    <w:p>
      <w:pPr>
        <w:pStyle w:val="ListParagraph"/>
        <w:numPr>
          <w:ilvl w:val="0"/>
          <w:numId w:val="2"/>
        </w:numPr>
        <w:spacing w:after="60"/>
      </w:pPr>
      <w:r>
        <w:rPr>
          <w:rFonts w:ascii="Courier New" w:cs="Courier New" w:eastAsia="Courier New" w:hAnsi="Courier New"/>
          <w:sz w:val="20"/>
          <w:szCs w:val="20"/>
        </w:rPr>
        <w:t xml:space="preserve">n_estimators = 300</w:t>
      </w:r>
      <w:r>
        <w:rPr>
          <w:rFonts w:ascii="Arial" w:cs="Arial" w:eastAsia="Arial" w:hAnsi="Arial"/>
          <w:sz w:val="22"/>
          <w:szCs w:val="22"/>
        </w:rPr>
        <w:t xml:space="preserve"> — Number of boosting rounds (trees).</w:t>
      </w:r>
    </w:p>
    <w:p>
      <w:pPr>
        <w:pStyle w:val="ListParagraph"/>
        <w:numPr>
          <w:ilvl w:val="0"/>
          <w:numId w:val="2"/>
        </w:numPr>
        <w:spacing w:after="60"/>
      </w:pPr>
      <w:r>
        <w:rPr>
          <w:rFonts w:ascii="Courier New" w:cs="Courier New" w:eastAsia="Courier New" w:hAnsi="Courier New"/>
          <w:sz w:val="20"/>
          <w:szCs w:val="20"/>
        </w:rPr>
        <w:t xml:space="preserve">subsample = 0.8</w:t>
      </w:r>
      <w:r>
        <w:rPr>
          <w:rFonts w:ascii="Arial" w:cs="Arial" w:eastAsia="Arial" w:hAnsi="Arial"/>
          <w:sz w:val="22"/>
          <w:szCs w:val="22"/>
        </w:rPr>
        <w:t xml:space="preserve"> — Row sampling ratio per tree. Reduces variance.</w:t>
      </w:r>
    </w:p>
    <w:p>
      <w:pPr>
        <w:pStyle w:val="ListParagraph"/>
        <w:numPr>
          <w:ilvl w:val="0"/>
          <w:numId w:val="2"/>
        </w:numPr>
        <w:spacing w:after="60"/>
      </w:pPr>
      <w:r>
        <w:rPr>
          <w:rFonts w:ascii="Courier New" w:cs="Courier New" w:eastAsia="Courier New" w:hAnsi="Courier New"/>
          <w:sz w:val="20"/>
          <w:szCs w:val="20"/>
        </w:rPr>
        <w:t xml:space="preserve">colsample_bytree = 0.8</w:t>
      </w:r>
      <w:r>
        <w:rPr>
          <w:rFonts w:ascii="Arial" w:cs="Arial" w:eastAsia="Arial" w:hAnsi="Arial"/>
          <w:sz w:val="22"/>
          <w:szCs w:val="22"/>
        </w:rPr>
        <w:t xml:space="preserve"> — Feature sampling ratio per tree. Adds diversity.</w:t>
      </w:r>
    </w:p>
    <w:p>
      <w:pPr>
        <w:pStyle w:val="ListParagraph"/>
        <w:numPr>
          <w:ilvl w:val="0"/>
          <w:numId w:val="2"/>
        </w:numPr>
        <w:spacing w:after="60"/>
      </w:pPr>
      <w:r>
        <w:rPr>
          <w:rFonts w:ascii="Courier New" w:cs="Courier New" w:eastAsia="Courier New" w:hAnsi="Courier New"/>
          <w:sz w:val="20"/>
          <w:szCs w:val="20"/>
        </w:rPr>
        <w:t xml:space="preserve">scale_pos_weight = 4.90</w:t>
      </w:r>
      <w:r>
        <w:rPr>
          <w:rFonts w:ascii="Arial" w:cs="Arial" w:eastAsia="Arial" w:hAnsi="Arial"/>
          <w:sz w:val="22"/>
          <w:szCs w:val="22"/>
        </w:rPr>
        <w:t xml:space="preserve"> — Upweights positive class to address 83:17 class imbalance.</w:t>
      </w:r>
    </w:p>
    <w:p>
      <w:pPr>
        <w:pStyle w:val="ListParagraph"/>
        <w:numPr>
          <w:ilvl w:val="0"/>
          <w:numId w:val="2"/>
        </w:numPr>
        <w:spacing w:after="120"/>
      </w:pPr>
      <w:r>
        <w:rPr>
          <w:rFonts w:ascii="Courier New" w:cs="Courier New" w:eastAsia="Courier New" w:hAnsi="Courier New"/>
          <w:sz w:val="20"/>
          <w:szCs w:val="20"/>
        </w:rPr>
        <w:t xml:space="preserve">eval_metric = auc</w:t>
      </w:r>
      <w:r>
        <w:rPr>
          <w:rFonts w:ascii="Arial" w:cs="Arial" w:eastAsia="Arial" w:hAnsi="Arial"/>
          <w:sz w:val="22"/>
          <w:szCs w:val="22"/>
        </w:rPr>
        <w:t xml:space="preserve"> — Optimizes for ROC-AUC during training.</w:t>
      </w:r>
    </w:p>
    <w:p>
      <w:pPr>
        <w:pStyle w:val="Heading2"/>
        <w:spacing w:after="150" w:before="300"/>
      </w:pPr>
      <w:r>
        <w:rPr>
          <w:rFonts w:ascii="Arial" w:cs="Arial" w:eastAsia="Arial" w:hAnsi="Arial"/>
          <w:b/>
          <w:bCs/>
        </w:rPr>
        <w:t xml:space="preserve">2.3 Evaluation Method</w:t>
      </w:r>
    </w:p>
    <w:p>
      <w:pPr>
        <w:spacing w:after="120" w:line="276"/>
      </w:pPr>
      <w:r>
        <w:rPr>
          <w:rFonts w:ascii="Arial" w:cs="Arial" w:eastAsia="Arial" w:hAnsi="Arial"/>
          <w:sz w:val="22"/>
          <w:szCs w:val="22"/>
        </w:rPr>
        <w:t xml:space="preserve">5-fold stratified cross-validation on the training set, followed by final evaluation on the held-out 20% test set. Stratification ensures each fold preserves the class ratio.</w:t>
      </w:r>
    </w:p>
    <w:p>
      <w:r>
        <w:br w:type="page"/>
      </w:r>
    </w:p>
    <w:p>
      <w:pPr>
        <w:pStyle w:val="Heading1"/>
        <w:spacing w:after="150" w:before="300"/>
      </w:pPr>
      <w:r>
        <w:rPr>
          <w:rFonts w:ascii="Arial" w:cs="Arial" w:eastAsia="Arial" w:hAnsi="Arial"/>
          <w:b/>
          <w:bCs/>
        </w:rPr>
        <w:t xml:space="preserve">3. Feature Descriptions</w:t>
      </w:r>
    </w:p>
    <w:p>
      <w:pPr>
        <w:spacing w:after="120" w:line="276"/>
      </w:pPr>
      <w:r>
        <w:rPr>
          <w:rFonts w:ascii="Arial" w:cs="Arial" w:eastAsia="Arial" w:hAnsi="Arial"/>
          <w:sz w:val="22"/>
          <w:szCs w:val="22"/>
        </w:rPr>
        <w:t xml:space="preserve">The model uses 45 features organized into 10 groups. Three categories of features were intentionally excluded to prevent data leakage (see Section 5).</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6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Company-Level Centrality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company_degree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distinct investors that funded the company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company_degree_centrality</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Normalized degree centrality in investor-company bipartite graph [0,1]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company_pagerank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PageRank score measuring recursive importance via investor quality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company_betweenness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Betweenness centrality; how often the company bridges investor communities</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Investor-Level Aggregates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avg_investor_degree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number of portfolio companies across the company's investors (top predictor)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max_investor_degree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portfolio size among the company's investors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avg_investor_pagerank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PageRank of the company's investors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max_investor_pagerank</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PageRank among the company's investors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avg_investor_betweenness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betweenness centrality of the company's investors</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Co-Investment / Syndicate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investor_clustering_coeff</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Mean clustering coefficient of investors in co-investment graph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investor_coinv_density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Edge density among the company's investors (syndicate cohesion)</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num_lead_investors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distinct lead investors across all rounds</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Education Network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edu_data_available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any founder has education data available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founder_top_univ_count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Founders who attended a top-20 university (by network degree)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founder_univ_degree_avg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degree of founders' universities in person-university graph</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founder_univ_pagerank_max</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PageRank of any founder's university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co_alumni_investor_overlap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Investors sharing a university with at least one founder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founder_alumni_network_size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2-hop alumni reach of the founding team</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Employment Network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founder_ex_faang_count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Founders with prior jobs at major tech companies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founder_ex_startup_count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Founders with prior jobs at other startups in the dataset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founder_prior_org_pagerank_max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PageRank of any organization in founders' job history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coworker_investor_overlap</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Investors sharing a past employer with at least one founder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founder_coworker_network_size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2-hop professional network reach of founders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founder_industry_diversity</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distinct prior employers across all founders</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Cross-Graph (Edu + Jobs)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founder_investor_social_proximity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shared entities (universities + employers) between any founder-investor pair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team_network_reach</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unique people reachable through combined alumni + co-worker networks</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Team Composition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team_size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people with Crunchbase profiles linked to the company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c_suite_count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C-suite executives (CEO, CTO, CFO,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board_count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board members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advisor_count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formal advisors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num_founders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founders listed for the company</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Founder Background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founder_has_phd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Any founder holds a PhD or doctoral degree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founder_has_mba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founder holds an MBA degree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max_founder_prior_jobs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prior job count across all founders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avg_founder_prior_jobs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prior job count across all founders</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Company Basics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employees_ordinal</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Employee count ordinal (1=1-10 to 9=10001+)</w:t>
            </w:r>
          </w:p>
        </w:tc>
      </w:tr>
      <w:tr>
        <w:tc>
          <w:tcPr>
            <w:tcW w:type="dxa" w:w="9360"/>
            <w:gridSpan w:val="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i/>
                <w:iCs/>
                <w:color w:val="2E5090"/>
                <w:sz w:val="20"/>
                <w:szCs w:val="20"/>
              </w:rPr>
              <w:t xml:space="preserve">Funding Type (One-Hot)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fund_type_pre_seed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pre-seed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fund_type_seed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seed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fund_type_series_a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Series A</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fund_type_series_b</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Series 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fund_type_series_c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Series C</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fund_type_series_unknown</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a series round (unknown letter)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fund_type_grant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a grant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urier New" w:cs="Courier New" w:eastAsia="Courier New" w:hAnsi="Courier New"/>
                <w:sz w:val="18"/>
                <w:szCs w:val="18"/>
              </w:rPr>
              <w:t xml:space="preserve">fund_type_non_equity_assistance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round was non-equity assistance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fund_type_other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round was another type</w:t>
            </w:r>
          </w:p>
        </w:tc>
      </w:tr>
    </w:tbl>
    <w:p>
      <w:r>
        <w:br w:type="page"/>
      </w:r>
    </w:p>
    <w:p>
      <w:pPr>
        <w:pStyle w:val="Heading1"/>
        <w:spacing w:after="150" w:before="300"/>
      </w:pPr>
      <w:r>
        <w:rPr>
          <w:rFonts w:ascii="Arial" w:cs="Arial" w:eastAsia="Arial" w:hAnsi="Arial"/>
          <w:b/>
          <w:bCs/>
        </w:rPr>
        <w:t xml:space="preserve">4. Data Leakage Prevention</w:t>
      </w:r>
    </w:p>
    <w:p>
      <w:pPr>
        <w:spacing w:after="120" w:line="276"/>
      </w:pPr>
      <w:r>
        <w:rPr>
          <w:rFonts w:ascii="Arial" w:cs="Arial" w:eastAsia="Arial" w:hAnsi="Arial"/>
          <w:sz w:val="22"/>
          <w:szCs w:val="22"/>
        </w:rPr>
        <w:t xml:space="preserve">The target variable is_success is defined using age-tiered funding thresholds. Including funding amount or company age as features would create circular reasoning. These features were excluded: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Excluded Feature</w:t>
            </w:r>
          </w:p>
        </w:tc>
        <w:tc>
          <w:tcPr>
            <w:tcW w:type="dxa" w:w="62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funding_total_usd / log_funding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 is_success is defined by age-tiered funding thresholds; including funding is circular</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num_funding_rounds</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Highly correlated with total funding amount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company_age_months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Directly used in the age-tier calculation for is_success</w:t>
            </w:r>
          </w:p>
        </w:tc>
      </w:tr>
    </w:tbl>
    <w:p>
      <w:pPr>
        <w:spacing w:after="100"/>
      </w:pPr>
    </w:p>
    <w:p>
      <w:pPr>
        <w:spacing w:after="120" w:line="276"/>
      </w:pPr>
      <w:r>
        <w:rPr>
          <w:rFonts w:ascii="Arial" w:cs="Arial" w:eastAsia="Arial" w:hAnsi="Arial"/>
          <w:sz w:val="22"/>
          <w:szCs w:val="22"/>
        </w:rPr>
        <w:t xml:space="preserve">When these leaked features were accidentally included during development, the model achieved ROC-AUC = 0.997 (99.7%), confirming the leakage. After removal, the honest ROC-AUC dropped to 0.800, indicating the remaining signal comes from network structure and team composition.</w:t>
      </w:r>
    </w:p>
    <w:p>
      <w:pPr>
        <w:pStyle w:val="Heading1"/>
        <w:spacing w:after="150" w:before="300"/>
      </w:pPr>
      <w:r>
        <w:rPr>
          <w:rFonts w:ascii="Arial" w:cs="Arial" w:eastAsia="Arial" w:hAnsi="Arial"/>
          <w:b/>
          <w:bCs/>
        </w:rPr>
        <w:t xml:space="preserve">5. Missing Data Handling</w:t>
      </w:r>
    </w:p>
    <w:p>
      <w:pPr>
        <w:spacing w:after="120" w:line="276"/>
      </w:pPr>
      <w:r>
        <w:rPr>
          <w:rFonts w:ascii="Arial" w:cs="Arial" w:eastAsia="Arial" w:hAnsi="Arial"/>
          <w:sz w:val="22"/>
          <w:szCs w:val="22"/>
        </w:rPr>
        <w:t xml:space="preserve">Approximately 35–40% of founder education and employment data is missing from the Crunchbase API. Missing data follows a structured pattern: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 Group</w:t>
            </w:r>
          </w:p>
        </w:tc>
        <w:tc>
          <w:tcPr>
            <w:tcW w:type="dxa" w:w="20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Missing Count</w:t>
            </w:r>
          </w:p>
        </w:tc>
        <w:tc>
          <w:tcPr>
            <w:tcW w:type="dxa" w:w="20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Missing %</w:t>
            </w:r>
          </w:p>
        </w:tc>
        <w:tc>
          <w:tcPr>
            <w:tcW w:type="dxa" w:w="20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Handling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University-based features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2,363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NaN</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Employment-based features</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2,565</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38.3%</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NaN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Combined reach</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1,579</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NaN</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Founder-investor overlap</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725</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10.8%</w:t>
            </w:r>
          </w:p>
        </w:tc>
        <w:tc>
          <w:tcPr>
            <w:tcW w:type="dxa" w:w="20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Native NaN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employees_ordinal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Median imputation</w:t>
            </w:r>
          </w:p>
        </w:tc>
      </w:tr>
    </w:tbl>
    <w:p>
      <w:pPr>
        <w:spacing w:after="100"/>
      </w:pPr>
    </w:p>
    <w:p>
      <w:pPr>
        <w:pStyle w:val="Heading2"/>
        <w:spacing w:after="150" w:before="300"/>
      </w:pPr>
      <w:r>
        <w:rPr>
          <w:rFonts w:ascii="Arial" w:cs="Arial" w:eastAsia="Arial" w:hAnsi="Arial"/>
          <w:b/>
          <w:bCs/>
        </w:rPr>
        <w:t xml:space="preserve">5.1 Strategy</w:t>
      </w:r>
    </w:p>
    <w:p>
      <w:pPr>
        <w:spacing w:after="120" w:line="276"/>
      </w:pPr>
      <w:r>
        <w:rPr>
          <w:rFonts w:ascii="Arial" w:cs="Arial" w:eastAsia="Arial" w:hAnsi="Arial"/>
          <w:sz w:val="22"/>
          <w:szCs w:val="22"/>
        </w:rPr>
        <w:t xml:space="preserve">XGBoost handles missing values natively by learning the optimal split direction for NaN values during tree construction. For each split, the algorithm evaluates both assigning missing values to the left child and to the right child, then chooses whichever direction minimizes the loss function. This means:</w:t>
      </w:r>
    </w:p>
    <w:p>
      <w:pPr>
        <w:pStyle w:val="ListParagraph"/>
        <w:numPr>
          <w:ilvl w:val="0"/>
          <w:numId w:val="2"/>
        </w:numPr>
        <w:spacing w:after="80"/>
      </w:pPr>
      <w:r>
        <w:rPr>
          <w:rFonts w:ascii="Arial" w:cs="Arial" w:eastAsia="Arial" w:hAnsi="Arial"/>
          <w:sz w:val="22"/>
          <w:szCs w:val="22"/>
        </w:rPr>
        <w:t xml:space="preserve">No imputation is needed for education/job network features — NaN values pass through directly.</w:t>
      </w:r>
    </w:p>
    <w:p>
      <w:pPr>
        <w:pStyle w:val="ListParagraph"/>
        <w:numPr>
          <w:ilvl w:val="0"/>
          <w:numId w:val="2"/>
        </w:numPr>
        <w:spacing w:after="80"/>
      </w:pPr>
      <w:r>
        <w:rPr>
          <w:rFonts w:ascii="Arial" w:cs="Arial" w:eastAsia="Arial" w:hAnsi="Arial"/>
          <w:sz w:val="22"/>
          <w:szCs w:val="22"/>
        </w:rPr>
        <w:t xml:space="preserve">The model can learn that “missing” itself is informative (e.g., companies with no founder data may be less transparent).</w:t>
      </w:r>
    </w:p>
    <w:p>
      <w:pPr>
        <w:pStyle w:val="ListParagraph"/>
        <w:numPr>
          <w:ilvl w:val="0"/>
          <w:numId w:val="2"/>
        </w:numPr>
        <w:spacing w:after="80"/>
      </w:pPr>
      <w:r>
        <w:rPr>
          <w:rFonts w:ascii="Arial" w:cs="Arial" w:eastAsia="Arial" w:hAnsi="Arial"/>
          <w:sz w:val="22"/>
          <w:szCs w:val="22"/>
        </w:rPr>
        <w:t xml:space="preserve">The edu_data_available flag (0/1) provides an explicit signal about data completeness.</w:t>
      </w:r>
    </w:p>
    <w:p>
      <w:pPr>
        <w:spacing w:after="120" w:line="276"/>
      </w:pPr>
      <w:r>
        <w:rPr>
          <w:rFonts w:ascii="Arial" w:cs="Arial" w:eastAsia="Arial" w:hAnsi="Arial"/>
          <w:sz w:val="22"/>
          <w:szCs w:val="22"/>
        </w:rPr>
        <w:t xml:space="preserve">For the single tabular feature with minimal missing data (employees_ordinal, 0.5%), median imputation was applied before training.</w:t>
      </w:r>
    </w:p>
    <w:p>
      <w:r>
        <w:br w:type="page"/>
      </w:r>
    </w:p>
    <w:p>
      <w:pPr>
        <w:pStyle w:val="Heading1"/>
        <w:spacing w:after="150" w:before="300"/>
      </w:pPr>
      <w:r>
        <w:rPr>
          <w:rFonts w:ascii="Arial" w:cs="Arial" w:eastAsia="Arial" w:hAnsi="Arial"/>
          <w:b/>
          <w:bCs/>
        </w:rPr>
        <w:t xml:space="preserve">6. Results</w:t>
      </w:r>
    </w:p>
    <w:p>
      <w:pPr>
        <w:pStyle w:val="Heading2"/>
        <w:spacing w:after="150" w:before="300"/>
      </w:pPr>
      <w:r>
        <w:rPr>
          <w:rFonts w:ascii="Arial" w:cs="Arial" w:eastAsia="Arial" w:hAnsi="Arial"/>
          <w:b/>
          <w:bCs/>
        </w:rPr>
        <w:t xml:space="preserve">6.1 Model Comparison</w:t>
      </w:r>
    </w:p>
    <w:p>
      <w:pPr>
        <w:spacing w:after="120" w:line="276"/>
      </w:pPr>
      <w:r>
        <w:rPr>
          <w:rFonts w:ascii="Arial" w:cs="Arial" w:eastAsia="Arial" w:hAnsi="Arial"/>
          <w:sz w:val="22"/>
          <w:szCs w:val="22"/>
        </w:rPr>
        <w:t xml:space="preserve">We trained two variants to measure the incremental value of education and employment network features: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Model</w:t>
            </w:r>
          </w:p>
        </w:tc>
        <w:tc>
          <w:tcPr>
            <w:tcW w:type="dxa" w:w="15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Features</w:t>
            </w:r>
          </w:p>
        </w:tc>
        <w:tc>
          <w:tcPr>
            <w:tcW w:type="dxa" w:w="15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CV AUC</w:t>
            </w:r>
          </w:p>
        </w:tc>
        <w:tc>
          <w:tcPr>
            <w:tcW w:type="dxa" w:w="15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AUC</w:t>
            </w:r>
          </w:p>
        </w:tc>
        <w:tc>
          <w:tcPr>
            <w:tcW w:type="dxa" w:w="15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PR-AUC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 + Tabular</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0.7939</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0.7854</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0.5212</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Network + Tabular + Edu/Job</w:t>
            </w:r>
          </w:p>
        </w:tc>
        <w:tc>
          <w:tcPr>
            <w:tcW w:type="dxa" w:w="15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w:t>
            </w:r>
          </w:p>
        </w:tc>
        <w:tc>
          <w:tcPr>
            <w:tcW w:type="dxa" w:w="15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0.7928</w:t>
            </w:r>
          </w:p>
        </w:tc>
        <w:tc>
          <w:tcPr>
            <w:tcW w:type="dxa" w:w="15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0.7999</w:t>
            </w:r>
          </w:p>
        </w:tc>
        <w:tc>
          <w:tcPr>
            <w:tcW w:type="dxa" w:w="15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0.5018</w:t>
            </w:r>
          </w:p>
        </w:tc>
      </w:tr>
    </w:tbl>
    <w:p>
      <w:pPr>
        <w:spacing w:after="200"/>
      </w:pPr>
    </w:p>
    <w:p>
      <w:pPr>
        <w:spacing w:after="120" w:line="276"/>
      </w:pPr>
      <w:r>
        <w:rPr>
          <w:rFonts w:ascii="Arial" w:cs="Arial" w:eastAsia="Arial" w:hAnsi="Arial"/>
          <w:sz w:val="22"/>
          <w:szCs w:val="22"/>
        </w:rPr>
        <w:t xml:space="preserve">Adding education/job features improved Test ROC-AUC by +0.015 (from 0.785 to 0.800). The improvement is modest, likely constrained by the 35–40% missing data rate in education and employment records.</w:t>
      </w:r>
    </w:p>
    <w:p>
      <w:pPr>
        <w:pStyle w:val="Heading2"/>
        <w:spacing w:after="150" w:before="300"/>
      </w:pPr>
      <w:r>
        <w:rPr>
          <w:rFonts w:ascii="Arial" w:cs="Arial" w:eastAsia="Arial" w:hAnsi="Arial"/>
          <w:b/>
          <w:bCs/>
        </w:rPr>
        <w:t xml:space="preserve">6.2 Classification Report (Full Model: 45 Features)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 Success (0)</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0.87</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0.91</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1,096</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Success (1)</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0.59</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0.30</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0.40</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Accuracy</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w:t>
            </w:r>
          </w:p>
        </w:tc>
        <w:tc>
          <w:tcPr>
            <w:tcW w:type="dxa" w:w="175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1,319</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Weighted Avg</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0.82</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0.85</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0.83</w:t>
            </w:r>
          </w:p>
        </w:tc>
        <w:tc>
          <w:tcPr>
            <w:tcW w:type="dxa" w:w="1755"/>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1,319</w:t>
            </w:r>
          </w:p>
        </w:tc>
      </w:tr>
    </w:tbl>
    <w:p>
      <w:pPr>
        <w:spacing w:after="200"/>
      </w:pPr>
    </w:p>
    <w:p>
      <w:pPr>
        <w:spacing w:after="120" w:line="276"/>
      </w:pPr>
      <w:r>
        <w:rPr>
          <w:rFonts w:ascii="Arial" w:cs="Arial" w:eastAsia="Arial" w:hAnsi="Arial"/>
          <w:sz w:val="22"/>
          <w:szCs w:val="22"/>
        </w:rPr>
        <w:t xml:space="preserve">The model achieves 85% overall accuracy. For the success class (1), precision is 0.59 and recall is 0.30, reflecting the difficulty of predicting the minority class. The high precision means that when the model predicts success, it is correct 59% of the time — substantially better than the 17% base rate.</w:t>
      </w:r>
    </w:p>
    <w:p>
      <w:pPr>
        <w:pStyle w:val="Heading2"/>
        <w:spacing w:after="150" w:before="300"/>
      </w:pPr>
      <w:r>
        <w:rPr>
          <w:rFonts w:ascii="Arial" w:cs="Arial" w:eastAsia="Arial" w:hAnsi="Arial"/>
          <w:b/>
          <w:bCs/>
        </w:rPr>
        <w:t xml:space="preserve">6.3 ROC Curve</w:t>
      </w:r>
    </w:p>
    <w:p>
      <w:pPr>
        <w:spacing w:after="200"/>
        <w:jc w:val="center"/>
      </w:pPr>
      <w:r>
        <w:drawing>
          <wp:inline distT="0" distB="0" distL="0" distR="0">
            <wp:extent cx="4762500" cy="3571875"/>
            <wp:effectExtent t="0" r="0" b="0" l="0"/>
            <wp:docPr id="1" name="roc" descr="ROC curve comparison" title="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120" w:line="276"/>
      </w:pPr>
      <w:r>
        <w:rPr>
          <w:rFonts w:ascii="Arial" w:cs="Arial" w:eastAsia="Arial" w:hAnsi="Arial"/>
          <w:sz w:val="22"/>
          <w:szCs w:val="22"/>
        </w:rPr>
        <w:t xml:space="preserve">The ROC curve shows the tradeoff between true positive rate and false positive rate. Both model variants perform similarly, with the edu/job-enhanced model (orange) slightly outperforming at most operating points. AUC = 0.800 indicates good discrimination ability.</w:t>
      </w:r>
    </w:p>
    <w:p>
      <w:pPr>
        <w:pStyle w:val="Heading2"/>
        <w:spacing w:after="150" w:before="300"/>
      </w:pPr>
      <w:r>
        <w:rPr>
          <w:rFonts w:ascii="Arial" w:cs="Arial" w:eastAsia="Arial" w:hAnsi="Arial"/>
          <w:b/>
          <w:bCs/>
        </w:rPr>
        <w:t xml:space="preserve">6.4 Precision-Recall Curve</w:t>
      </w:r>
    </w:p>
    <w:p>
      <w:pPr>
        <w:spacing w:after="200"/>
        <w:jc w:val="center"/>
      </w:pPr>
      <w:r>
        <w:drawing>
          <wp:inline distT="0" distB="0" distL="0" distR="0">
            <wp:extent cx="4762500" cy="3571875"/>
            <wp:effectExtent t="0" r="0" b="0" l="0"/>
            <wp:docPr id="1" name="pr" descr="Precision-Recall curve comparison" title="P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120" w:line="276"/>
      </w:pPr>
      <w:r>
        <w:rPr>
          <w:rFonts w:ascii="Arial" w:cs="Arial" w:eastAsia="Arial" w:hAnsi="Arial"/>
          <w:sz w:val="22"/>
          <w:szCs w:val="22"/>
        </w:rPr>
        <w:t xml:space="preserve">The Precision-Recall curve is more informative than ROC for imbalanced datasets. PR-AUC = 0.50 (vs. 0.17 random baseline) shows the model captures meaningful signal, though there is room for improvement in recall of the success class.</w:t>
      </w:r>
    </w:p>
    <w:p>
      <w:r>
        <w:br w:type="page"/>
      </w:r>
    </w:p>
    <w:p>
      <w:pPr>
        <w:pStyle w:val="Heading1"/>
        <w:spacing w:after="150" w:before="300"/>
      </w:pPr>
      <w:r>
        <w:rPr>
          <w:rFonts w:ascii="Arial" w:cs="Arial" w:eastAsia="Arial" w:hAnsi="Arial"/>
          <w:b/>
          <w:bCs/>
        </w:rPr>
        <w:t xml:space="preserve">7. Feature Importance Analysis</w:t>
      </w:r>
    </w:p>
    <w:p>
      <w:pPr>
        <w:spacing w:after="200"/>
        <w:jc w:val="center"/>
      </w:pPr>
      <w:r>
        <w:drawing>
          <wp:inline distT="0" distB="0" distL="0" distR="0">
            <wp:extent cx="4953000" cy="4000500"/>
            <wp:effectExtent t="0" r="0" b="0" l="0"/>
            <wp:docPr id="1" name="fi" descr="Top 25 feature importances"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000500"/>
                    </a:xfrm>
                    <a:prstGeom prst="rect">
                      <a:avLst/>
                    </a:prstGeom>
                  </pic:spPr>
                </pic:pic>
              </a:graphicData>
            </a:graphic>
          </wp:inline>
        </w:drawing>
      </w:r>
    </w:p>
    <w:p>
      <w:pPr>
        <w:pStyle w:val="Heading2"/>
        <w:spacing w:after="150" w:before="300"/>
      </w:pPr>
      <w:r>
        <w:rPr>
          <w:rFonts w:ascii="Arial" w:cs="Arial" w:eastAsia="Arial" w:hAnsi="Arial"/>
          <w:b/>
          <w:bCs/>
        </w:rPr>
        <w:t xml:space="preserve">7.1 Key Findings</w:t>
      </w:r>
    </w:p>
    <w:p>
      <w:pPr>
        <w:spacing w:after="120" w:line="276"/>
      </w:pPr>
      <w:r>
        <w:rPr>
          <w:rFonts w:ascii="Arial" w:cs="Arial" w:eastAsia="Arial" w:hAnsi="Arial"/>
          <w:b/>
          <w:bCs/>
          <w:sz w:val="22"/>
          <w:szCs w:val="22"/>
        </w:rPr>
        <w:t xml:space="preserve">Network features dominate. </w:t>
      </w:r>
      <w:r>
        <w:rPr>
          <w:rFonts w:ascii="Arial" w:cs="Arial" w:eastAsia="Arial" w:hAnsi="Arial"/>
          <w:sz w:val="22"/>
          <w:szCs w:val="22"/>
        </w:rPr>
        <w:t xml:space="preserve">The top 7 features are all graph-derived: avg_investor_degree (0.104), company_degree (0.072), avg_investor_betweenness (0.036), company_pagerank (0.033), investor_coinv_density (0.030), avg_investor_pagerank (0.026), and investor_clustering_coeff (0.024). Together, they account for over 60% of total feature importance.</w:t>
      </w:r>
    </w:p>
    <w:p>
      <w:pPr>
        <w:spacing w:after="60"/>
      </w:pPr>
    </w:p>
    <w:p>
      <w:pPr>
        <w:spacing w:after="120" w:line="276"/>
      </w:pPr>
      <w:r>
        <w:rPr>
          <w:rFonts w:ascii="Arial" w:cs="Arial" w:eastAsia="Arial" w:hAnsi="Arial"/>
          <w:b/>
          <w:bCs/>
          <w:sz w:val="22"/>
          <w:szCs w:val="22"/>
        </w:rPr>
        <w:t xml:space="preserve">Investor connectivity is the strongest signal. </w:t>
      </w:r>
      <w:r>
        <w:rPr>
          <w:rFonts w:ascii="Arial" w:cs="Arial" w:eastAsia="Arial" w:hAnsi="Arial"/>
          <w:sz w:val="22"/>
          <w:szCs w:val="22"/>
        </w:rPr>
        <w:t xml:space="preserve">avg_investor_degree — the mean number of portfolio companies across a startup’s investors — is the single most important feature by a wide margin. Companies backed by investors with large, diversified portfolios are significantly more likely to succeed.</w:t>
      </w:r>
    </w:p>
    <w:p>
      <w:pPr>
        <w:spacing w:after="60"/>
      </w:pPr>
    </w:p>
    <w:p>
      <w:pPr>
        <w:spacing w:after="120" w:line="276"/>
      </w:pPr>
      <w:r>
        <w:rPr>
          <w:rFonts w:ascii="Arial" w:cs="Arial" w:eastAsia="Arial" w:hAnsi="Arial"/>
          <w:b/>
          <w:bCs/>
          <w:sz w:val="22"/>
          <w:szCs w:val="22"/>
        </w:rPr>
        <w:t xml:space="preserve">Company centrality matters. </w:t>
      </w:r>
      <w:r>
        <w:rPr>
          <w:rFonts w:ascii="Arial" w:cs="Arial" w:eastAsia="Arial" w:hAnsi="Arial"/>
          <w:sz w:val="22"/>
          <w:szCs w:val="22"/>
        </w:rPr>
        <w:t xml:space="preserve">company_degree (number of investors) and company_pagerank (recursive importance from investor quality) are the second and fourth most important features. Well-connected companies in the investment network have better outcomes.</w:t>
      </w:r>
    </w:p>
    <w:p>
      <w:pPr>
        <w:spacing w:after="60"/>
      </w:pPr>
    </w:p>
    <w:p>
      <w:pPr>
        <w:spacing w:after="120" w:line="276"/>
      </w:pPr>
      <w:r>
        <w:rPr>
          <w:rFonts w:ascii="Arial" w:cs="Arial" w:eastAsia="Arial" w:hAnsi="Arial"/>
          <w:b/>
          <w:bCs/>
          <w:sz w:val="22"/>
          <w:szCs w:val="22"/>
        </w:rPr>
        <w:t xml:space="preserve">Syndicate structure is informative. </w:t>
      </w:r>
      <w:r>
        <w:rPr>
          <w:rFonts w:ascii="Arial" w:cs="Arial" w:eastAsia="Arial" w:hAnsi="Arial"/>
          <w:sz w:val="22"/>
          <w:szCs w:val="22"/>
        </w:rPr>
        <w:t xml:space="preserve">investor_coinv_density and investor_clustering_coeff both rank in the top 10. The degree to which a company’s investors have co-invested together before carries predictive signal about deal quality and investor coordination.</w:t>
      </w:r>
    </w:p>
    <w:p>
      <w:pPr>
        <w:spacing w:after="60"/>
      </w:pPr>
    </w:p>
    <w:p>
      <w:pPr>
        <w:spacing w:after="120" w:line="276"/>
      </w:pPr>
      <w:r>
        <w:rPr>
          <w:rFonts w:ascii="Arial" w:cs="Arial" w:eastAsia="Arial" w:hAnsi="Arial"/>
          <w:b/>
          <w:bCs/>
          <w:sz w:val="22"/>
          <w:szCs w:val="22"/>
        </w:rPr>
        <w:t xml:space="preserve">Team and founder features are secondary. </w:t>
      </w:r>
      <w:r>
        <w:rPr>
          <w:rFonts w:ascii="Arial" w:cs="Arial" w:eastAsia="Arial" w:hAnsi="Arial"/>
          <w:sz w:val="22"/>
          <w:szCs w:val="22"/>
        </w:rPr>
        <w:t xml:space="preserve">employees_ordinal (0.023), num_founders (0.013), and team_size (0.008) contribute but are far less important than network features. Funding type dummies have minimal impact.</w:t>
      </w:r>
    </w:p>
    <w:p>
      <w:pPr>
        <w:pStyle w:val="Heading1"/>
        <w:spacing w:after="150" w:before="300"/>
      </w:pPr>
      <w:r>
        <w:rPr>
          <w:rFonts w:ascii="Arial" w:cs="Arial" w:eastAsia="Arial" w:hAnsi="Arial"/>
          <w:b/>
          <w:bCs/>
        </w:rPr>
        <w:t xml:space="preserve">8. Conclusion</w:t>
      </w:r>
    </w:p>
    <w:p>
      <w:pPr>
        <w:spacing w:after="120" w:line="276"/>
      </w:pPr>
      <w:r>
        <w:rPr>
          <w:rFonts w:ascii="Arial" w:cs="Arial" w:eastAsia="Arial" w:hAnsi="Arial"/>
          <w:sz w:val="22"/>
          <w:szCs w:val="22"/>
        </w:rPr>
        <w:t xml:space="preserve">The XGBoost model achieves ROC-AUC = 0.800 using 45 features, with network-derived features providing the dominant predictive signal. The key finding is that investor network structure — specifically, how well-connected and active a company’s investors are — is a stronger predictor of startup success than company-level attributes like team size or funding stage.</w:t>
      </w:r>
    </w:p>
    <w:p>
      <w:pPr>
        <w:spacing w:after="120" w:line="276"/>
      </w:pPr>
      <w:r>
        <w:rPr>
          <w:rFonts w:ascii="Arial" w:cs="Arial" w:eastAsia="Arial" w:hAnsi="Arial"/>
          <w:sz w:val="22"/>
          <w:szCs w:val="22"/>
        </w:rPr>
        <w:t xml:space="preserve">Education and employment network features provide a modest +0.015 AUC improvement, constrained by 35–40% data missingness. The social proximity features (co-alumni and co-worker overlap between founders and investors) represent a novel signal that measures “warm connections” not visible in the investment graph.</w:t>
      </w:r>
    </w:p>
    <w:p>
      <w:pPr>
        <w:spacing w:after="120" w:line="276"/>
      </w:pPr>
      <w:r>
        <w:rPr>
          <w:rFonts w:ascii="Arial" w:cs="Arial" w:eastAsia="Arial" w:hAnsi="Arial"/>
          <w:sz w:val="22"/>
          <w:szCs w:val="22"/>
        </w:rPr>
        <w:t xml:space="preserve">Future work includes: (1) additional models (LightGBM, Random Forest, GNN, Node2Vec) for comparison, (2) hyperparameter tuning via Bayesian optimization, and (3) a temporal validation strategy training on older cohorts to predict newer ones.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888888"/>
        <w:sz w:val="18"/>
        <w:szCs w:val="18"/>
      </w:rPr>
      <w:t xml:space="preserve">XGBoost Model Report | Startup Exit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87213f22b755373a738ad0d044aca938dfab58.png"/><Relationship Id="rId10" Type="http://schemas.openxmlformats.org/officeDocument/2006/relationships/image" Target="media/b5868d79037cf696303f264e5dddbec70ee31094.png"/><Relationship Id="rId11" Type="http://schemas.openxmlformats.org/officeDocument/2006/relationships/image" Target="media/c85152b2ad7406f0f8c5ef1803a94d736bf0e7b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2026-04-02T17:23:13.741Z</dcterms:created>
  <dcterms:modified xsi:type="dcterms:W3CDTF">2026-04-02T17:23:13.745Z</dcterms:modified>
</cp:coreProperties>
</file>

<file path=docProps/custom.xml><?xml version="1.0" encoding="utf-8"?>
<Properties xmlns="http://schemas.openxmlformats.org/officeDocument/2006/custom-properties" xmlns:vt="http://schemas.openxmlformats.org/officeDocument/2006/docPropsVTypes"/>
</file>