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090"/>
          <w:sz w:val="44"/>
          <w:szCs w:val="44"/>
        </w:rPr>
        <w:t xml:space="preserve">XGBoost Model Comparison Report</w:t>
      </w:r>
    </w:p>
    <w:p>
      <w:pPr>
        <w:spacing w:after="40"/>
        <w:jc w:val="center"/>
      </w:pPr>
      <w:r>
        <w:rPr>
          <w:rFonts w:ascii="Arial" w:cs="Arial" w:eastAsia="Arial" w:hAnsi="Arial"/>
          <w:color w:val="666666"/>
          <w:sz w:val="24"/>
          <w:szCs w:val="24"/>
        </w:rPr>
        <w:t xml:space="preserve">V1 (Network + Tabular) vs V2 (+ Education/Employment Features)</w:t>
      </w:r>
    </w:p>
    <w:p>
      <w:pPr>
        <w:spacing w:after="400"/>
        <w:jc w:val="center"/>
      </w:pPr>
      <w:r>
        <w:rPr>
          <w:rFonts w:ascii="Arial" w:cs="Arial" w:eastAsia="Arial" w:hAnsi="Arial"/>
          <w:color w:val="888888"/>
          <w:sz w:val="22"/>
          <w:szCs w:val="22"/>
        </w:rPr>
        <w:t xml:space="preserve">6,704 US AI Startups | April 2026</w:t>
      </w:r>
    </w:p>
    <w:p>
      <w:pPr>
        <w:pStyle w:val="Heading1"/>
      </w:pPr>
      <w:r>
        <w:rPr>
          <w:rFonts w:ascii="Arial" w:cs="Arial" w:eastAsia="Arial" w:hAnsi="Arial"/>
          <w:b/>
          <w:bCs/>
        </w:rPr>
        <w:t xml:space="preserve">1. Model Overview</w:t>
      </w:r>
    </w:p>
    <w:p>
      <w:pPr>
        <w:pStyle w:val="Heading2"/>
      </w:pPr>
      <w:r>
        <w:rPr>
          <w:rFonts w:ascii="Arial" w:cs="Arial" w:eastAsia="Arial" w:hAnsi="Arial"/>
          <w:b/>
          <w:bCs/>
        </w:rPr>
        <w:t xml:space="preserve">1.1 Algorithm</w:t>
      </w:r>
    </w:p>
    <w:p>
      <w:pPr>
        <w:spacing w:after="120" w:line="276"/>
      </w:pPr>
      <w:r>
        <w:rPr>
          <w:rFonts w:ascii="Arial" w:cs="Arial" w:eastAsia="Arial" w:hAnsi="Arial"/>
          <w:sz w:val="22"/>
          <w:szCs w:val="22"/>
        </w:rPr>
        <w:t xml:space="preserve">XGBoost (eXtreme Gradient Boosting) is a regularized gradient boosting framework that builds an ensemble of 300 decision trees sequentially. Each tree corrects errors from the previous ensemble. It was chosen for its strong tabular data performance, native missing value handling, and built-in class imbalance support.</w:t>
      </w:r>
    </w:p>
    <w:p>
      <w:pPr>
        <w:pStyle w:val="Heading2"/>
      </w:pPr>
      <w:r>
        <w:rPr>
          <w:rFonts w:ascii="Arial" w:cs="Arial" w:eastAsia="Arial" w:hAnsi="Arial"/>
          <w:b/>
          <w:bCs/>
        </w:rPr>
        <w:t xml:space="preserve">1.2 Configuration</w:t>
      </w:r>
    </w:p>
    <w:p>
      <w:pPr>
        <w:pStyle w:val="ListParagraph"/>
        <w:numPr>
          <w:ilvl w:val="0"/>
          <w:numId w:val="2"/>
        </w:numPr>
        <w:spacing w:after="60"/>
      </w:pPr>
      <w:r>
        <w:rPr>
          <w:rFonts w:ascii="Courier New" w:cs="Courier New" w:eastAsia="Courier New" w:hAnsi="Courier New"/>
          <w:sz w:val="20"/>
          <w:szCs w:val="20"/>
        </w:rPr>
        <w:t xml:space="preserve">max_depth=6, learning_rate=0.1, n_estimators=300</w:t>
      </w:r>
    </w:p>
    <w:p>
      <w:pPr>
        <w:pStyle w:val="ListParagraph"/>
        <w:numPr>
          <w:ilvl w:val="0"/>
          <w:numId w:val="2"/>
        </w:numPr>
        <w:spacing w:after="60"/>
      </w:pPr>
      <w:r>
        <w:rPr>
          <w:rFonts w:ascii="Courier New" w:cs="Courier New" w:eastAsia="Courier New" w:hAnsi="Courier New"/>
          <w:sz w:val="20"/>
          <w:szCs w:val="20"/>
        </w:rPr>
        <w:t xml:space="preserve">subsample=0.8, colsample_bytree=0.8</w:t>
      </w:r>
    </w:p>
    <w:p>
      <w:pPr>
        <w:pStyle w:val="ListParagraph"/>
        <w:numPr>
          <w:ilvl w:val="0"/>
          <w:numId w:val="2"/>
        </w:numPr>
        <w:spacing w:after="60"/>
      </w:pPr>
      <w:r>
        <w:rPr>
          <w:rFonts w:ascii="Courier New" w:cs="Courier New" w:eastAsia="Courier New" w:hAnsi="Courier New"/>
          <w:sz w:val="20"/>
          <w:szCs w:val="20"/>
        </w:rPr>
        <w:t xml:space="preserve">scale_pos_weight=4.90</w:t>
      </w:r>
      <w:r>
        <w:rPr>
          <w:rFonts w:ascii="Arial" w:cs="Arial" w:eastAsia="Arial" w:hAnsi="Arial"/>
          <w:sz w:val="22"/>
          <w:szCs w:val="22"/>
        </w:rPr>
        <w:t xml:space="preserve"> (auto-computed to handle 83:17 class imbalance)</w:t>
      </w:r>
    </w:p>
    <w:p>
      <w:pPr>
        <w:pStyle w:val="ListParagraph"/>
        <w:numPr>
          <w:ilvl w:val="0"/>
          <w:numId w:val="2"/>
        </w:numPr>
        <w:spacing w:after="120"/>
      </w:pPr>
      <w:r>
        <w:rPr>
          <w:rFonts w:ascii="Arial" w:cs="Arial" w:eastAsia="Arial" w:hAnsi="Arial"/>
          <w:b/>
          <w:bCs/>
          <w:sz w:val="22"/>
          <w:szCs w:val="22"/>
        </w:rPr>
        <w:t xml:space="preserve">Excluded features: </w:t>
      </w:r>
      <w:r>
        <w:rPr>
          <w:rFonts w:ascii="Arial" w:cs="Arial" w:eastAsia="Arial" w:hAnsi="Arial"/>
          <w:sz w:val="22"/>
          <w:szCs w:val="22"/>
        </w:rPr>
        <w:t xml:space="preserve">funding_total_usd, log_funding, num_funding_rounds, company_age_months (data leakage prevention — these define the target variable)</w:t>
      </w:r>
    </w:p>
    <w:p>
      <w:pPr>
        <w:pStyle w:val="Heading2"/>
      </w:pPr>
      <w:r>
        <w:rPr>
          <w:rFonts w:ascii="Arial" w:cs="Arial" w:eastAsia="Arial" w:hAnsi="Arial"/>
          <w:b/>
          <w:bCs/>
        </w:rPr>
        <w:t xml:space="preserve">1.3 Evaluation Method</w:t>
      </w:r>
    </w:p>
    <w:p>
      <w:pPr>
        <w:spacing w:after="120" w:line="276"/>
      </w:pPr>
      <w:r>
        <w:rPr>
          <w:rFonts w:ascii="Arial" w:cs="Arial" w:eastAsia="Arial" w:hAnsi="Arial"/>
          <w:sz w:val="22"/>
          <w:szCs w:val="22"/>
        </w:rPr>
        <w:t xml:space="preserve">5-fold stratified cross-validation on 80% training set, final evaluation on 20% held-out test set (5,274 train / 1,319 test). Both sets preserve the 83:17 class ratio via stratified sampling.</w:t>
      </w:r>
    </w:p>
    <w:p>
      <w:pPr>
        <w:pStyle w:val="Heading2"/>
      </w:pPr>
      <w:r>
        <w:rPr>
          <w:rFonts w:ascii="Arial" w:cs="Arial" w:eastAsia="Arial" w:hAnsi="Arial"/>
          <w:b/>
          <w:bCs/>
        </w:rPr>
        <w:t xml:space="preserve">1.4 Missing Data Handling</w:t>
      </w:r>
    </w:p>
    <w:p>
      <w:pPr>
        <w:spacing w:after="120" w:line="276"/>
      </w:pPr>
      <w:r>
        <w:rPr>
          <w:rFonts w:ascii="Arial" w:cs="Arial" w:eastAsia="Arial" w:hAnsi="Arial"/>
          <w:sz w:val="22"/>
          <w:szCs w:val="22"/>
        </w:rPr>
        <w:t xml:space="preserve">XGBoost handles NaN values natively by learning the optimal split direction for missing data during tree construction. Education/employment features (35–40% missing) are passed as NaN without imputation. Only employees_ordinal (0.5% missing) uses median imputation. An edu_data_available flag is included as an explicit missingness indicator.</w:t>
      </w:r>
    </w:p>
    <w:p>
      <w:r>
        <w:br w:type="page"/>
      </w:r>
    </w:p>
    <w:p>
      <w:pPr>
        <w:pStyle w:val="Heading1"/>
      </w:pPr>
      <w:r>
        <w:rPr>
          <w:rFonts w:ascii="Arial" w:cs="Arial" w:eastAsia="Arial" w:hAnsi="Arial"/>
          <w:b/>
          <w:bCs/>
        </w:rPr>
        <w:t xml:space="preserve">2. V1: Network + Tabular Features (31 features)</w:t>
      </w:r>
    </w:p>
    <w:p>
      <w:pPr>
        <w:pStyle w:val="Heading2"/>
      </w:pPr>
      <w:r>
        <w:rPr>
          <w:rFonts w:ascii="Arial" w:cs="Arial" w:eastAsia="Arial" w:hAnsi="Arial"/>
          <w:b/>
          <w:bCs/>
        </w:rPr>
        <w:t xml:space="preserve">2.1 Features and Importance</w:t>
      </w:r>
    </w:p>
    <w:p>
      <w:pPr>
        <w:spacing w:after="120" w:line="276"/>
      </w:pPr>
      <w:r>
        <w:rPr>
          <w:rFonts w:ascii="Arial" w:cs="Arial" w:eastAsia="Arial" w:hAnsi="Arial"/>
          <w:sz w:val="22"/>
          <w:szCs w:val="22"/>
        </w:rPr>
        <w:t xml:space="preserve">V1 uses 31 features: 12 network centrality/co-investment features, 9 funding type dummies, 5 team/founder features, 4 founder background features, and 1 company size feature.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4260"/>
        <w:gridCol w:w="160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2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Importance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avg_investor_degree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 portfolio size of company's investors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0.1035</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company_degree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Number of distinct investors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0.0716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avg_investor_betweenness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 betweenness of investors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0.0358</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company_pagerank</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PageRank in investor-company graph</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0.0334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investor_coinv_density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Co-investment density among investors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0.0300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avg_investor_pagerank</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Mean PageRank of investors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0.0263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investor_clustering_coeff</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Clustering coefficient of investors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0.0237</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employees_ordinal</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Company size (1-9 ordinal)</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0.0233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company_betweenness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Betweenness centrality of company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0.0173</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max_investor_pagerank</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 PageRank among investors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0.0151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num_founders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founders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0.0132</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max_investor_degree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 portfolio size among investors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0.0129</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fund_type_pre_seed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round was pre-seed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0.0110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team_size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People linked to company (execs/board/advisors)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0.0077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avg_founder_prior_jobs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prior jobs across founders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0.0069</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max_founder_prior_jobs</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 prior jobs across founders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0.0063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c_suite_count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C-suite executives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0.0050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founder_has_phd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Any founder has a PhD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0.0034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fund_type_seed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round was seed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0.0024</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fund_type_grant</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Last round was a grant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0.0019</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fund_type_series_c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round was Series 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0.0011</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fund_type_series_unknown</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Last round was series (unknown)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0.0009</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fund_type_other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round was other 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0.0009</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fund_type_series_a</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Last round was Series 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fund_type_series_b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round was Series 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0.0004</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founder_has_mba</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Any founder has an MBA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board_count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board members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0.0002</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fund_type_non_equity_assistance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Last round was non-equity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advisor_count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advisors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0.0001</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company_degree_centrality</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Normalized degree centrality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num_lead_investors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lead investors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0.0000</w:t>
            </w:r>
          </w:p>
        </w:tc>
      </w:tr>
    </w:tbl>
    <w:p>
      <w:pPr>
        <w:spacing w:after="200"/>
      </w:pPr>
    </w:p>
    <w:p>
      <w:pPr>
        <w:spacing w:after="200"/>
        <w:jc w:val="center"/>
      </w:pPr>
      <w:r>
        <w:drawing>
          <wp:inline distT="0" distB="0" distL="0" distR="0">
            <wp:extent cx="4572000" cy="3619500"/>
            <wp:effectExtent t="0" r="0" b="0" l="0"/>
            <wp:docPr id="1" name="fi_v1" descr="Feature importance chart" title="V1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619500"/>
                    </a:xfrm>
                    <a:prstGeom prst="rect">
                      <a:avLst/>
                    </a:prstGeom>
                  </pic:spPr>
                </pic:pic>
              </a:graphicData>
            </a:graphic>
          </wp:inline>
        </w:drawing>
      </w:r>
    </w:p>
    <w:p>
      <w:pPr>
        <w:pStyle w:val="Heading2"/>
      </w:pPr>
      <w:r>
        <w:rPr>
          <w:rFonts w:ascii="Arial" w:cs="Arial" w:eastAsia="Arial" w:hAnsi="Arial"/>
          <w:b/>
          <w:bCs/>
        </w:rPr>
        <w:t xml:space="preserve">2.2 Results</w:t>
      </w:r>
    </w:p>
    <w:p>
      <w:pPr>
        <w:spacing w:after="120" w:line="276"/>
      </w:pPr>
      <w:r>
        <w:rPr>
          <w:rFonts w:ascii="Arial" w:cs="Arial" w:eastAsia="Arial" w:hAnsi="Arial"/>
          <w:b/>
          <w:bCs/>
          <w:sz w:val="22"/>
          <w:szCs w:val="22"/>
        </w:rPr>
        <w:t xml:space="preserve">ROC-AUC: </w:t>
      </w:r>
      <w:r>
        <w:rPr>
          <w:rFonts w:ascii="Arial" w:cs="Arial" w:eastAsia="Arial" w:hAnsi="Arial"/>
          <w:sz w:val="22"/>
          <w:szCs w:val="22"/>
        </w:rPr>
        <w:t xml:space="preserve">0.7854 (test) | 0.7939 ± 0.0228 (5-fold CV)</w:t>
      </w:r>
    </w:p>
    <w:p>
      <w:pPr>
        <w:spacing w:after="120" w:line="276"/>
      </w:pPr>
      <w:r>
        <w:rPr>
          <w:rFonts w:ascii="Arial" w:cs="Arial" w:eastAsia="Arial" w:hAnsi="Arial"/>
          <w:b/>
          <w:bCs/>
          <w:sz w:val="22"/>
          <w:szCs w:val="22"/>
        </w:rPr>
        <w:t xml:space="preserve">PR-AUC: </w:t>
      </w:r>
      <w:r>
        <w:rPr>
          <w:rFonts w:ascii="Arial" w:cs="Arial" w:eastAsia="Arial" w:hAnsi="Arial"/>
          <w:sz w:val="22"/>
          <w:szCs w:val="22"/>
        </w:rPr>
        <w:t xml:space="preserve">0.5212 (test) | Baseline: 0.169</w:t>
      </w:r>
    </w:p>
    <w:p>
      <w:pPr>
        <w:spacing w:after="120" w:line="276"/>
      </w:pPr>
      <w:r>
        <w:rPr>
          <w:rFonts w:ascii="Arial" w:cs="Arial" w:eastAsia="Arial" w:hAnsi="Arial"/>
          <w:b/>
          <w:bCs/>
          <w:sz w:val="22"/>
          <w:szCs w:val="22"/>
        </w:rPr>
        <w:t xml:space="preserve">Accuracy: </w:t>
      </w:r>
      <w:r>
        <w:rPr>
          <w:rFonts w:ascii="Arial" w:cs="Arial" w:eastAsia="Arial" w:hAnsi="Arial"/>
          <w:sz w:val="22"/>
          <w:szCs w:val="22"/>
        </w:rPr>
        <w:t xml:space="preserve">85.8%</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1755"/>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Not Success (0)</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0.88</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0.96</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0.92</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1,096</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Success (1)</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0.66</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0.34</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0.45</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223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Accuracy</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0.86</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1,319</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Weighted Avg</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0.84</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0.86</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0.84</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1,319</w:t>
            </w:r>
          </w:p>
        </w:tc>
      </w:tr>
    </w:tbl>
    <w:p>
      <w:pPr>
        <w:spacing w:after="200"/>
      </w:pPr>
    </w:p>
    <w:p>
      <w:pPr>
        <w:pStyle w:val="Heading2"/>
      </w:pPr>
      <w:r>
        <w:rPr>
          <w:rFonts w:ascii="Arial" w:cs="Arial" w:eastAsia="Arial" w:hAnsi="Arial"/>
          <w:b/>
          <w:bCs/>
        </w:rPr>
        <w:t xml:space="preserve">2.3 Analysis</w:t>
      </w:r>
    </w:p>
    <w:p>
      <w:pPr>
        <w:spacing w:after="120" w:line="276"/>
      </w:pPr>
      <w:r>
        <w:rPr>
          <w:rFonts w:ascii="Arial" w:cs="Arial" w:eastAsia="Arial" w:hAnsi="Arial"/>
          <w:sz w:val="22"/>
          <w:szCs w:val="22"/>
        </w:rPr>
        <w:t xml:space="preserve">Network features dominate the model. The top 7 features are all graph-derived, accounting for over 60% of total importance. avg_investor_degree (how many companies the investors have funded) is the single strongest predictor, nearly 50% more important than the second-ranked feature.</w:t>
      </w:r>
    </w:p>
    <w:p>
      <w:pPr>
        <w:spacing w:after="120" w:line="276"/>
      </w:pPr>
      <w:r>
        <w:rPr>
          <w:rFonts w:ascii="Arial" w:cs="Arial" w:eastAsia="Arial" w:hAnsi="Arial"/>
          <w:sz w:val="22"/>
          <w:szCs w:val="22"/>
        </w:rPr>
        <w:t xml:space="preserve">The model is conservative on the success class: high precision (0.66) but low recall (0.34). When it predicts success, it is right 66% of the time (vs. 17% base rate), but it only catches 34% of actual successes. This tradeoff favors avoiding false positives.</w:t>
      </w:r>
    </w:p>
    <w:p>
      <w:pPr>
        <w:spacing w:after="120" w:line="276"/>
      </w:pPr>
      <w:r>
        <w:rPr>
          <w:rFonts w:ascii="Arial" w:cs="Arial" w:eastAsia="Arial" w:hAnsi="Arial"/>
          <w:sz w:val="22"/>
          <w:szCs w:val="22"/>
        </w:rPr>
        <w:t xml:space="preserve">Funding type dummies and founder background features have minimal impact. The most important non-network feature is employees_ordinal (company size), ranked 8th.</w:t>
      </w:r>
    </w:p>
    <w:p>
      <w:r>
        <w:br w:type="page"/>
      </w:r>
    </w:p>
    <w:p>
      <w:pPr>
        <w:pStyle w:val="Heading1"/>
      </w:pPr>
      <w:r>
        <w:rPr>
          <w:rFonts w:ascii="Arial" w:cs="Arial" w:eastAsia="Arial" w:hAnsi="Arial"/>
          <w:b/>
          <w:bCs/>
        </w:rPr>
        <w:t xml:space="preserve">3. V2: Network + Tabular + Edu/Job Features (45 features)</w:t>
      </w:r>
    </w:p>
    <w:p>
      <w:pPr>
        <w:pStyle w:val="Heading2"/>
      </w:pPr>
      <w:r>
        <w:rPr>
          <w:rFonts w:ascii="Arial" w:cs="Arial" w:eastAsia="Arial" w:hAnsi="Arial"/>
          <w:b/>
          <w:bCs/>
        </w:rPr>
        <w:t xml:space="preserve">3.1 Additional Features (14 new)</w:t>
      </w:r>
    </w:p>
    <w:p>
      <w:pPr>
        <w:spacing w:after="120" w:line="276"/>
      </w:pPr>
      <w:r>
        <w:rPr>
          <w:rFonts w:ascii="Arial" w:cs="Arial" w:eastAsia="Arial" w:hAnsi="Arial"/>
          <w:sz w:val="22"/>
          <w:szCs w:val="22"/>
        </w:rPr>
        <w:t xml:space="preserve">V2 adds 14 education and employment network features to the 31 V1 features. These capture social capital and warm connections between founders and investors through shared universities and past employers.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4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edu_data_available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any founder has education data</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founder_top_univ_count</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Founders attending a top-20 university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founder_univ_degree_avg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degree of founders' universities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founder_univ_pagerank_max</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 PageRank of any founder's university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co_alumni_investor_overlap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Investors sharing a university with a founder</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founder_alumni_network_size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2-hop alumni network reach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founder_ex_faang_count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Founders with prior FAANG/big-tech jobs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founder_ex_startup_count</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Founders with prior startup experience in dataset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founder_prior_org_pagerank_max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PageRank of founders' prior employers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coworker_investor_overlap</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Investors sharing a past employer with a founder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founder_coworker_network_size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2-hop professional network reach</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founder_industry_diversity</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Distinct prior employers across all founders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founder_investor_social_proximity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shared entities (school+employer) between founder-investor</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team_network_reach</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Combined alumni + co-worker network reach</w:t>
            </w:r>
          </w:p>
        </w:tc>
      </w:tr>
    </w:tbl>
    <w:p>
      <w:pPr>
        <w:spacing w:after="200"/>
      </w:pPr>
    </w:p>
    <w:p>
      <w:pPr>
        <w:spacing w:after="120" w:line="276"/>
      </w:pPr>
      <w:r>
        <w:rPr>
          <w:rFonts w:ascii="Arial" w:cs="Arial" w:eastAsia="Arial" w:hAnsi="Arial"/>
          <w:sz w:val="22"/>
          <w:szCs w:val="22"/>
        </w:rPr>
        <w:t xml:space="preserve">Key missing data rates: university features 35.2%, employment features 38.3%, cross-graph features 10.8–23.6%. All handled natively by XGBoost (no imputation).</w:t>
      </w:r>
    </w:p>
    <w:p>
      <w:pPr>
        <w:pStyle w:val="Heading2"/>
      </w:pPr>
      <w:r>
        <w:rPr>
          <w:rFonts w:ascii="Arial" w:cs="Arial" w:eastAsia="Arial" w:hAnsi="Arial"/>
          <w:b/>
          <w:bCs/>
        </w:rPr>
        <w:t xml:space="preserve">3.2 Results</w:t>
      </w:r>
    </w:p>
    <w:p>
      <w:pPr>
        <w:spacing w:after="120" w:line="276"/>
      </w:pPr>
      <w:r>
        <w:rPr>
          <w:rFonts w:ascii="Arial" w:cs="Arial" w:eastAsia="Arial" w:hAnsi="Arial"/>
          <w:b/>
          <w:bCs/>
          <w:sz w:val="22"/>
          <w:szCs w:val="22"/>
        </w:rPr>
        <w:t xml:space="preserve">ROC-AUC: </w:t>
      </w:r>
      <w:r>
        <w:rPr>
          <w:rFonts w:ascii="Arial" w:cs="Arial" w:eastAsia="Arial" w:hAnsi="Arial"/>
          <w:sz w:val="22"/>
          <w:szCs w:val="22"/>
        </w:rPr>
        <w:t xml:space="preserve">0.7999 (test) | 0.7928 ± 0.0197 (5-fold CV)</w:t>
      </w:r>
    </w:p>
    <w:p>
      <w:pPr>
        <w:spacing w:after="120" w:line="276"/>
      </w:pPr>
      <w:r>
        <w:rPr>
          <w:rFonts w:ascii="Arial" w:cs="Arial" w:eastAsia="Arial" w:hAnsi="Arial"/>
          <w:b/>
          <w:bCs/>
          <w:sz w:val="22"/>
          <w:szCs w:val="22"/>
        </w:rPr>
        <w:t xml:space="preserve">PR-AUC: </w:t>
      </w:r>
      <w:r>
        <w:rPr>
          <w:rFonts w:ascii="Arial" w:cs="Arial" w:eastAsia="Arial" w:hAnsi="Arial"/>
          <w:sz w:val="22"/>
          <w:szCs w:val="22"/>
        </w:rPr>
        <w:t xml:space="preserve">0.5018 (test) | Baseline: 0.169</w:t>
      </w:r>
    </w:p>
    <w:p>
      <w:pPr>
        <w:spacing w:after="120" w:line="276"/>
      </w:pPr>
      <w:r>
        <w:rPr>
          <w:rFonts w:ascii="Arial" w:cs="Arial" w:eastAsia="Arial" w:hAnsi="Arial"/>
          <w:b/>
          <w:bCs/>
          <w:sz w:val="22"/>
          <w:szCs w:val="22"/>
        </w:rPr>
        <w:t xml:space="preserve">Accuracy: </w:t>
      </w:r>
      <w:r>
        <w:rPr>
          <w:rFonts w:ascii="Arial" w:cs="Arial" w:eastAsia="Arial" w:hAnsi="Arial"/>
          <w:sz w:val="22"/>
          <w:szCs w:val="22"/>
        </w:rPr>
        <w:t xml:space="preserve">84.6%</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1755"/>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Not Success (0)</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0.87</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0.96</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0.91</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1,096</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Success (1)</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0.59</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0.30</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0.40</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223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Accuracy</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0.85</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1,319</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Weighted Avg</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0.82</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0.85</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0.83</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1,319</w:t>
            </w:r>
          </w:p>
        </w:tc>
      </w:tr>
    </w:tbl>
    <w:p>
      <w:pPr>
        <w:spacing w:after="200"/>
      </w:pPr>
    </w:p>
    <w:p>
      <w:pPr>
        <w:pStyle w:val="Heading2"/>
      </w:pPr>
      <w:r>
        <w:rPr>
          <w:rFonts w:ascii="Arial" w:cs="Arial" w:eastAsia="Arial" w:hAnsi="Arial"/>
          <w:b/>
          <w:bCs/>
        </w:rPr>
        <w:t xml:space="preserve">3.3 Analysis</w:t>
      </w:r>
    </w:p>
    <w:p>
      <w:pPr>
        <w:spacing w:after="120" w:line="276"/>
      </w:pPr>
      <w:r>
        <w:rPr>
          <w:rFonts w:ascii="Arial" w:cs="Arial" w:eastAsia="Arial" w:hAnsi="Arial"/>
          <w:sz w:val="22"/>
          <w:szCs w:val="22"/>
        </w:rPr>
        <w:t xml:space="preserve">V2 improves test ROC-AUC by +0.015 (0.785 → 0.800), indicating better overall discrimination ability. However, PR-AUC decreases slightly (−0.019), and success precision drops from 0.66 to 0.59. This suggests the edu/job features help the model distinguish between classes overall but introduce some noise in the positive-class boundary.</w:t>
      </w:r>
    </w:p>
    <w:p>
      <w:pPr>
        <w:spacing w:after="120" w:line="276"/>
      </w:pPr>
      <w:r>
        <w:rPr>
          <w:rFonts w:ascii="Arial" w:cs="Arial" w:eastAsia="Arial" w:hAnsi="Arial"/>
          <w:sz w:val="22"/>
          <w:szCs w:val="22"/>
        </w:rPr>
        <w:t xml:space="preserve">The improvement is modest, likely constrained by 35–40% missing data in education and employment records. The social proximity features (co-alumni and co-worker overlap between founders and investors) represent a novel signal type, but their impact is diluted by the high missingness rate.</w:t>
      </w:r>
    </w:p>
    <w:p>
      <w:r>
        <w:br w:type="page"/>
      </w:r>
    </w:p>
    <w:p>
      <w:pPr>
        <w:pStyle w:val="Heading1"/>
      </w:pPr>
      <w:r>
        <w:rPr>
          <w:rFonts w:ascii="Arial" w:cs="Arial" w:eastAsia="Arial" w:hAnsi="Arial"/>
          <w:b/>
          <w:bCs/>
        </w:rPr>
        <w:t xml:space="preserve">4. Comparison</w:t>
      </w:r>
    </w:p>
    <w:p>
      <w:pPr>
        <w:pStyle w:val="Heading2"/>
      </w:pPr>
      <w:r>
        <w:rPr>
          <w:rFonts w:ascii="Arial" w:cs="Arial" w:eastAsia="Arial" w:hAnsi="Arial"/>
          <w:b/>
          <w:bCs/>
        </w:rPr>
        <w:t xml:space="preserve">4.1 Side-by-Side Metrics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500"/>
        <w:gridCol w:w="1500"/>
        <w:gridCol w:w="1200"/>
        <w:gridCol w:w="12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 Features</w:t>
            </w:r>
          </w:p>
        </w:tc>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V1 (Network)</w:t>
            </w:r>
          </w:p>
        </w:tc>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V2 (+Edu/Job)</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Delta</w:t>
            </w:r>
          </w:p>
        </w:tc>
        <w:tc>
          <w:tcPr>
            <w:tcW w:type="dxa" w:w="12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Improved?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CV ROC-AUC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 vs 45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0.7939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-0.0011</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Test ROC-AUC</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0.7854</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0.7999</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+0.0145</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Test PR-AUC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0.5212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0.5018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-0.0194</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Accuracy</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0.86</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-0.01</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Success Precision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0.66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-0.07</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Success Recall</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0.34</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0.30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-0.04</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r>
    </w:tbl>
    <w:p>
      <w:pPr>
        <w:spacing w:after="200"/>
      </w:pPr>
    </w:p>
    <w:p>
      <w:pPr>
        <w:pStyle w:val="Heading2"/>
      </w:pPr>
      <w:r>
        <w:rPr>
          <w:rFonts w:ascii="Arial" w:cs="Arial" w:eastAsia="Arial" w:hAnsi="Arial"/>
          <w:b/>
          <w:bCs/>
        </w:rPr>
        <w:t xml:space="preserve">4.2 ROC Curve Comparison</w:t>
      </w:r>
    </w:p>
    <w:p>
      <w:pPr>
        <w:spacing w:after="200"/>
        <w:jc w:val="center"/>
      </w:pPr>
      <w:r>
        <w:drawing>
          <wp:inline distT="0" distB="0" distL="0" distR="0">
            <wp:extent cx="4572000" cy="3429000"/>
            <wp:effectExtent t="0" r="0" b="0" l="0"/>
            <wp:docPr id="1" name="roc" descr="ROC curves for V1 vs V2" title="ROC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29000"/>
                    </a:xfrm>
                    <a:prstGeom prst="rect">
                      <a:avLst/>
                    </a:prstGeom>
                  </pic:spPr>
                </pic:pic>
              </a:graphicData>
            </a:graphic>
          </wp:inline>
        </w:drawing>
      </w:r>
    </w:p>
    <w:p>
      <w:pPr>
        <w:pStyle w:val="Heading2"/>
      </w:pPr>
      <w:r>
        <w:rPr>
          <w:rFonts w:ascii="Arial" w:cs="Arial" w:eastAsia="Arial" w:hAnsi="Arial"/>
          <w:b/>
          <w:bCs/>
        </w:rPr>
        <w:t xml:space="preserve">4.3 Precision-Recall Curve Comparison</w:t>
      </w:r>
    </w:p>
    <w:p>
      <w:pPr>
        <w:spacing w:after="200"/>
        <w:jc w:val="center"/>
      </w:pPr>
      <w:r>
        <w:drawing>
          <wp:inline distT="0" distB="0" distL="0" distR="0">
            <wp:extent cx="4572000" cy="3429000"/>
            <wp:effectExtent t="0" r="0" b="0" l="0"/>
            <wp:docPr id="1" name="pr" descr="PR curves for V1 vs V2" title="P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pStyle w:val="Heading2"/>
      </w:pPr>
      <w:r>
        <w:rPr>
          <w:rFonts w:ascii="Arial" w:cs="Arial" w:eastAsia="Arial" w:hAnsi="Arial"/>
          <w:b/>
          <w:bCs/>
        </w:rPr>
        <w:t xml:space="preserve">4.4 Key Takeaways</w:t>
      </w:r>
    </w:p>
    <w:p>
      <w:pPr>
        <w:pStyle w:val="ListParagraph"/>
        <w:numPr>
          <w:ilvl w:val="0"/>
          <w:numId w:val="2"/>
        </w:numPr>
        <w:spacing w:after="100"/>
      </w:pPr>
      <w:r>
        <w:rPr>
          <w:rFonts w:ascii="Arial" w:cs="Arial" w:eastAsia="Arial" w:hAnsi="Arial"/>
          <w:b/>
          <w:bCs/>
          <w:sz w:val="22"/>
          <w:szCs w:val="22"/>
        </w:rPr>
        <w:t xml:space="preserve">ROC-AUC improves with edu/job features (+0.015). </w:t>
      </w:r>
      <w:r>
        <w:rPr>
          <w:rFonts w:ascii="Arial" w:cs="Arial" w:eastAsia="Arial" w:hAnsi="Arial"/>
          <w:sz w:val="22"/>
          <w:szCs w:val="22"/>
        </w:rPr>
        <w:t xml:space="preserve">The model gains better overall discrimination when social network information is included. This suggests that founder-investor social proximity carries predictive signal beyond what investment graph structure alone provides.</w:t>
      </w:r>
    </w:p>
    <w:p>
      <w:pPr>
        <w:pStyle w:val="ListParagraph"/>
        <w:numPr>
          <w:ilvl w:val="0"/>
          <w:numId w:val="2"/>
        </w:numPr>
        <w:spacing w:after="100"/>
      </w:pPr>
      <w:r>
        <w:rPr>
          <w:rFonts w:ascii="Arial" w:cs="Arial" w:eastAsia="Arial" w:hAnsi="Arial"/>
          <w:b/>
          <w:bCs/>
          <w:sz w:val="22"/>
          <w:szCs w:val="22"/>
        </w:rPr>
        <w:t xml:space="preserve">Precision and recall for the success class decrease slightly. </w:t>
      </w:r>
      <w:r>
        <w:rPr>
          <w:rFonts w:ascii="Arial" w:cs="Arial" w:eastAsia="Arial" w:hAnsi="Arial"/>
          <w:sz w:val="22"/>
          <w:szCs w:val="22"/>
        </w:rPr>
        <w:t xml:space="preserve">V2 trades some classification sharpness for broader discrimination. The 14 additional features with 35–40% missingness introduce noise that slightly blurs the decision boundary for the minority class.</w:t>
      </w:r>
    </w:p>
    <w:p>
      <w:pPr>
        <w:pStyle w:val="ListParagraph"/>
        <w:numPr>
          <w:ilvl w:val="0"/>
          <w:numId w:val="2"/>
        </w:numPr>
        <w:spacing w:after="100"/>
      </w:pPr>
      <w:r>
        <w:rPr>
          <w:rFonts w:ascii="Arial" w:cs="Arial" w:eastAsia="Arial" w:hAnsi="Arial"/>
          <w:b/>
          <w:bCs/>
          <w:sz w:val="22"/>
          <w:szCs w:val="22"/>
        </w:rPr>
        <w:t xml:space="preserve">Network features remain dominant in both models. </w:t>
      </w:r>
      <w:r>
        <w:rPr>
          <w:rFonts w:ascii="Arial" w:cs="Arial" w:eastAsia="Arial" w:hAnsi="Arial"/>
          <w:sz w:val="22"/>
          <w:szCs w:val="22"/>
        </w:rPr>
        <w:t xml:space="preserve">Investor connectivity (avg_investor_degree, company_degree) drives predictions regardless of whether edu/job features are present. The core finding holds: who invests in a company matters more than the company’s own attributes.</w:t>
      </w:r>
    </w:p>
    <w:p>
      <w:pPr>
        <w:pStyle w:val="ListParagraph"/>
        <w:numPr>
          <w:ilvl w:val="0"/>
          <w:numId w:val="2"/>
        </w:numPr>
        <w:spacing w:after="100"/>
      </w:pPr>
      <w:r>
        <w:rPr>
          <w:rFonts w:ascii="Arial" w:cs="Arial" w:eastAsia="Arial" w:hAnsi="Arial"/>
          <w:b/>
          <w:bCs/>
          <w:sz w:val="22"/>
          <w:szCs w:val="22"/>
        </w:rPr>
        <w:t xml:space="preserve">Missing data is the primary constraint. </w:t>
      </w:r>
      <w:r>
        <w:rPr>
          <w:rFonts w:ascii="Arial" w:cs="Arial" w:eastAsia="Arial" w:hAnsi="Arial"/>
          <w:sz w:val="22"/>
          <w:szCs w:val="22"/>
        </w:rPr>
        <w:t xml:space="preserve">With 35–40% of education and employment records missing, the potential of social network features is not fully realized. Reducing missingness (e.g., supplementing with LinkedIn data) would likely amplify the improvement.</w:t>
      </w:r>
    </w:p>
    <w:p>
      <w:pPr>
        <w:pStyle w:val="ListParagraph"/>
        <w:numPr>
          <w:ilvl w:val="0"/>
          <w:numId w:val="2"/>
        </w:numPr>
        <w:spacing w:after="100"/>
      </w:pPr>
      <w:r>
        <w:rPr>
          <w:rFonts w:ascii="Arial" w:cs="Arial" w:eastAsia="Arial" w:hAnsi="Arial"/>
          <w:b/>
          <w:bCs/>
          <w:sz w:val="22"/>
          <w:szCs w:val="22"/>
        </w:rPr>
        <w:t xml:space="preserve">Recommendation: use V1 for deployment, V2 for research. </w:t>
      </w:r>
      <w:r>
        <w:rPr>
          <w:rFonts w:ascii="Arial" w:cs="Arial" w:eastAsia="Arial" w:hAnsi="Arial"/>
          <w:sz w:val="22"/>
          <w:szCs w:val="22"/>
        </w:rPr>
        <w:t xml:space="preserve">V1 is simpler (31 features, no missing data issues) with comparable performance. V2 demonstrates that social capital features add signal and warrants further investigation with more complete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jc w:val="right"/>
    </w:pPr>
    <w:r>
      <w:rPr>
        <w:rFonts w:ascii="Arial" w:cs="Arial" w:eastAsia="Arial" w:hAnsi="Arial"/>
        <w:i/>
        <w:iCs/>
        <w:color w:val="888888"/>
        <w:sz w:val="18"/>
        <w:szCs w:val="18"/>
      </w:rPr>
      <w:t xml:space="preserve">XGBoost V1 vs V2 Comparison | Startup Exit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5152b2ad7406f0f8c5ef1803a94d736bf0e7b7.png"/><Relationship Id="rId10" Type="http://schemas.openxmlformats.org/officeDocument/2006/relationships/image" Target="media/8b87213f22b755373a738ad0d044aca938dfab58.png"/><Relationship Id="rId11" Type="http://schemas.openxmlformats.org/officeDocument/2006/relationships/image" Target="media/b5868d79037cf696303f264e5dddbec70ee3109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2026-04-02T18:15:06.717Z</dcterms:created>
  <dcterms:modified xsi:type="dcterms:W3CDTF">2026-04-02T18:15:06.723Z</dcterms:modified>
</cp:coreProperties>
</file>

<file path=docProps/custom.xml><?xml version="1.0" encoding="utf-8"?>
<Properties xmlns="http://schemas.openxmlformats.org/officeDocument/2006/custom-properties" xmlns:vt="http://schemas.openxmlformats.org/officeDocument/2006/docPropsVTypes"/>
</file>