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GraphSAGE on Heterogeneous Crunchbase Graph</w:t>
      </w:r>
    </w:p>
    <w:p>
      <w:pPr>
        <w:spacing w:after="280"/>
        <w:jc w:val="center"/>
      </w:pPr>
      <w:r>
        <w:rPr>
          <w:color w:val="555555"/>
          <w:sz w:val="26"/>
          <w:szCs w:val="26"/>
        </w:rPr>
        <w:t xml:space="preserve">Node Classification Results — V1 vs V2 vs XGBoost Comparison</w:t>
      </w:r>
    </w:p>
    <w:p>
      <w:pPr>
        <w:spacing w:after="120"/>
      </w:pPr>
      <w:r>
        <w:t xml:space="preserve">GraphSAGE (Graph Sample and Aggregate) trained on the full heterogeneous Crunchbase graph with 272k nodes, 645k edges, 4 node types, and 8 edge types (+ 8 reverse edges for bidirectional message passing).</w:t>
      </w:r>
    </w:p>
    <w:p>
      <w:pPr>
        <w:spacing w:after="120"/>
      </w:pPr>
      <w:r>
        <w:rPr>
          <w:b/>
          <w:bCs/>
          <w:i/>
          <w:iCs/>
        </w:rPr>
        <w:t xml:space="preserve">Research question: </w:t>
      </w:r>
      <w:r>
        <w:rPr>
          <w:i/>
          <w:iCs/>
        </w:rPr>
        <w:t xml:space="preserve">“Do learned graph representations add signal beyond hand-engineered centrality features?”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2"/>
          <w:szCs w:val="32"/>
        </w:rPr>
        <w:t xml:space="preserve">1. Model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HeteroConv wrapping SAGEConv for each of 16 edge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message-passing layers: project all node types to shared 128-dim → 128-dim → 64-dim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MLP classification head: Linear(64→32) → ReLU → Dropout(0.3) → Linear(32→1)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797k+ trainable parameters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Cosine annealing LR schedule (lr=5e-3), AdamW with weight_decay=1e-4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 epochs, early stopping on val AUC (patience=15)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2"/>
          <w:szCs w:val="32"/>
        </w:rPr>
        <w:t xml:space="preserve">2. Heterogeneous Graph Structure</w:t>
      </w:r>
    </w:p>
    <w:p>
      <w:pPr>
        <w:pStyle w:val="Heading3"/>
        <w:spacing w:after="100" w:before="180"/>
      </w:pPr>
      <w:r>
        <w:rPr>
          <w:b/>
          <w:bCs/>
          <w:color w:val="2F5496"/>
          <w:sz w:val="22"/>
          <w:szCs w:val="22"/>
        </w:rPr>
        <w:t xml:space="preserve">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Dim (V1)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Dim (V2)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162,291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18,623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86,083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university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5,143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b/>
          <w:bCs/>
          <w:color w:val="2F5496"/>
          <w:sz w:val="22"/>
          <w:szCs w:val="22"/>
        </w:rPr>
        <w:t xml:space="preserve">Edge Types (+ reverse for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Type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→ Target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invested_in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 → company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386,095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co_invested_in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investor → investor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179,738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→ company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20,855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educated_at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→ university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46,870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executive_of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→ company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9,848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team_member_of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→ company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1,558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advisor_to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→ company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211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board_member_of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 → company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F3864"/>
          <w:sz w:val="32"/>
          <w:szCs w:val="32"/>
        </w:rPr>
        <w:t xml:space="preserve">3. Experimental Setup</w:t>
      </w:r>
    </w:p>
    <w:p>
      <w:pPr>
        <w:pStyle w:val="Heading3"/>
        <w:spacing w:after="100" w:before="180"/>
      </w:pPr>
      <w:r>
        <w:rPr>
          <w:b/>
          <w:bCs/>
          <w:color w:val="2F5496"/>
          <w:sz w:val="22"/>
          <w:szCs w:val="22"/>
        </w:rPr>
        <w:t xml:space="preserve">Same Split as XGBoost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Chronological split by company’s first funding year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Train: first funded ≤ 2020 (2,658 companies)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Val: first funded 2021-2022 (1,269 companies)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Test: first funded ≥ 2023 (2,666 companies)</w:t>
      </w:r>
    </w:p>
    <w:p>
      <w:pPr>
        <w:pStyle w:val="Heading3"/>
        <w:spacing w:after="100" w:before="180"/>
      </w:pPr>
      <w:r>
        <w:rPr>
          <w:b/>
          <w:bCs/>
          <w:color w:val="2F5496"/>
          <w:sz w:val="22"/>
          <w:szCs w:val="22"/>
        </w:rPr>
        <w:t xml:space="preserve">Same Leakage Exclusions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Excluded from company features: funding_total_usd, log_funding, num_funding_rounds, company_age_months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These are used to define the is_success target variable</w:t>
      </w:r>
    </w:p>
    <w:p>
      <w:pPr>
        <w:pStyle w:val="Heading3"/>
        <w:spacing w:after="100" w:before="180"/>
      </w:pPr>
      <w:r>
        <w:rPr>
          <w:b/>
          <w:bCs/>
          <w:color w:val="2F5496"/>
          <w:sz w:val="22"/>
          <w:szCs w:val="22"/>
        </w:rPr>
        <w:t xml:space="preserve">Class Imbalance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pos_weight = 9.11 (89.1% negative / 10.9% positive in train)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BCE with pos_weight approach as XGBoost’s scale_pos_weight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2"/>
          <w:szCs w:val="32"/>
        </w:rPr>
        <w:t xml:space="preserve">4.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1500"/>
        <w:gridCol w:w="1430"/>
        <w:gridCol w:w="1430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AUC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 AUC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AUC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AP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GraphSAGE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(31 feats)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0.722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0.542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GraphSAGE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(45 feats)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0.855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0.733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0.532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(31 feats)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0.785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0.617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(45 feats)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0.650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EvolveGCN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(33 feats)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0.851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0.756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0.567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TGN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(33 feats)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0.839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0.687</w:t>
            </w:r>
          </w:p>
        </w:tc>
        <w:tc>
          <w:tcPr>
            <w:tcW w:type="dxa" w:w="14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0.513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F3864"/>
          <w:sz w:val="32"/>
          <w:szCs w:val="32"/>
        </w:rPr>
        <w:t xml:space="preserve">5. Analysis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6"/>
          <w:szCs w:val="26"/>
        </w:rPr>
        <w:t xml:space="preserve">5.1 XGBoost Still Wins on This Task</w:t>
      </w:r>
    </w:p>
    <w:p>
      <w:pPr>
        <w:spacing w:after="120"/>
      </w:pPr>
      <w:r>
        <w:t xml:space="preserve">XGBoost V2 (test AUC 0.800) outperforms GraphSAGE V2 (0.733) by +0.067. This is consistent with the employer’s prediction and is a valid research finding: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is_success is a static label based on age-tiered funding thresholds. It does not inherently require graph reasoning.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excels at tabular data with missing values (native NaN handling), and 31 hand-engineered graph features already encode the most predictive network signals.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6.7k labeled companies are a small fraction of the 272k-node graph. Most graph structure goes unused by the classification objective.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6"/>
          <w:szCs w:val="26"/>
        </w:rPr>
        <w:t xml:space="preserve">5.2 GraphSAGE Beats Temporal Models</w:t>
      </w:r>
    </w:p>
    <w:p>
      <w:pPr>
        <w:spacing w:after="120"/>
      </w:pPr>
      <w:r>
        <w:t xml:space="preserve">GraphSAGE V1 (0.722) and V2 (0.733) both outperform TGN V1 (0.687) on classification. This makes sense: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GraphSAGE directly operates on the full heterogeneous graph with proper node-type-specific message passing.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TGN’s streaming memory was designed for event prediction, not static label prediction.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EvolveGCN V1 (0.756) slightly edges out GraphSAGE V1 (0.722), but with a simpler bipartite graph (investors + companies only, no person/university nodes).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6"/>
          <w:szCs w:val="26"/>
        </w:rPr>
        <w:t xml:space="preserve">5.3 V2 Edu/Job Features: Mixed Signal</w:t>
      </w:r>
    </w:p>
    <w:p>
      <w:pPr>
        <w:spacing w:after="120"/>
      </w:pPr>
      <w:r>
        <w:t xml:space="preserve">GraphSAGE V2 gains +0.010 test AUC over V1 (0.733 vs 0.722). This is the first GNN model where edu/job features help, likely because: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full heterogeneous graph already routes messages through person → educated_at → university paths. V2’s extra company-level features provide a shortcut for this signal.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However, the gain is modest compared to XGBoost’s +0.015, confirming that message passing partially subsumes what hand-crafted edu/job features encode.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6"/>
          <w:szCs w:val="26"/>
        </w:rPr>
        <w:t xml:space="preserve">5.4 The Val-Test Gap</w:t>
      </w:r>
    </w:p>
    <w:p>
      <w:pPr>
        <w:spacing w:after="120"/>
      </w:pPr>
      <w:r>
        <w:t xml:space="preserve">GraphSAGE shows a notable gap: val AUC ~0.86 vs test AUC ~0.73. This is partly a temporal distribution shift (test companies founded ≥2023 face different market conditions than 2021-2022 val companies), and partly that GNNs overfit to the train graph structure more than XGBoost does.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6"/>
          <w:szCs w:val="26"/>
        </w:rPr>
        <w:t xml:space="preserve">5.5 Answer to the Research Question</w:t>
      </w:r>
    </w:p>
    <w:p>
      <w:pPr>
        <w:spacing w:after="120"/>
      </w:pPr>
      <w:r>
        <w:rPr>
          <w:b/>
          <w:bCs/>
          <w:i/>
          <w:iCs/>
        </w:rPr>
        <w:t xml:space="preserve">“Do learned graph representations add signal beyond hand-engineered centrality features?”
</w:t>
      </w:r>
    </w:p>
    <w:p>
      <w:pPr>
        <w:spacing w:after="120"/>
      </w:pPr>
      <w:r>
        <w:rPr>
          <w:b/>
          <w:bCs/>
        </w:rPr>
        <w:t xml:space="preserve">Finding: </w:t>
      </w:r>
      <w:r>
        <w:t xml:space="preserve">On this dataset (6,704 labeled US AI companies, static binary outcome), hand-engineered centrality features + XGBoost remain stronger than end-to-end graph learning. However, GraphSAGE on the heterogeneous graph (0.733) comes within 0.067 of XGBoost (0.800) without ANY hand-crafted features from the graph — all its graph signal is learned. This suggests that with a larger labeled set or a more graph-native prediction task (e.g., link prediction), GNNs would close or reverse the gap.</w:t>
      </w:r>
    </w:p>
    <w:p>
      <w:pPr>
        <w:spacing w:after="120"/>
      </w:pPr>
      <w:r>
        <w:rPr>
          <w:b/>
          <w:bCs/>
        </w:rPr>
        <w:t xml:space="preserve">This is a negative result with a clean experiment, and it is a real finding.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2"/>
          <w:szCs w:val="32"/>
        </w:rPr>
        <w:t xml:space="preserve">6. Full 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ROC-AUC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 V2 (45 feats)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 V1 (31 feats)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0.785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EvolveGCN V1 (snapshot GNN)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0.756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EvolveGCN V2 (+ edu/job)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0.739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GraphSAGE V2 (hetero, + edu)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0.733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GraphSAGE V1 (hetero, 31 feats)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0.722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TGN V1 (temporal memory)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0.687</w:t>
            </w:r>
          </w:p>
        </w:tc>
      </w:tr>
      <w:tr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TGN V2 (+ edu/job)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0.670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F3864"/>
          <w:sz w:val="32"/>
          <w:szCs w:val="32"/>
        </w:rPr>
        <w:t xml:space="preserve">7. Files and Reproducing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models/graphsage/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build_graph_data.py       # Build PyG HeteroData from exports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train_graphsage.py        # Train V1/V2 + compare to XGBoost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data/                     # .pt files (graph, splits, features)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results/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graphsage_v1.json       # Full V1 metrics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graphsage_v2.json       # Full V2 metrics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all_models_comparison.json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training.log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Reproduce: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python3 models/graphsage/build_graph_data.py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python3 models/graphsage/train_graphsage.py --version all --epochs 100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GraphSAGE Results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2026-04-12T21:36:47.559Z</dcterms:created>
  <dcterms:modified xsi:type="dcterms:W3CDTF">2026-04-12T21:36:47.562Z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