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Malgun Gothic" w:hAnsi="Malgun Gothic" w:eastAsia="Malgun Gothic" w:cs="Malgun Gothic"/>
          <w:b/>
          <w:i w:val="0"/>
          <w:color w:val="000000"/>
          <w:sz w:val="20"/>
        </w:rPr>
        <w:t>Fisher-KPP RK4 검증 regime 및 수치해석 사양</w:t>
      </w:r>
    </w:p>
    <w:p>
      <w:pPr>
        <w:spacing w:before="0" w:after="160" w:line="252" w:lineRule="auto"/>
        <w:jc w:val="center"/>
      </w:pPr>
      <w:r>
        <w:rPr>
          <w:rFonts w:ascii="Malgun Gothic" w:hAnsi="Malgun Gothic" w:eastAsia="Malgun Gothic" w:cs="Malgun Gothic"/>
          <w:b w:val="0"/>
          <w:i w:val="0"/>
          <w:color w:val="000000"/>
          <w:sz w:val="20"/>
        </w:rPr>
        <w:t>Exact travelling-wave benchmark 기반 1D/2D RK4 보고서</w:t>
      </w:r>
    </w:p>
    <w:p>
      <w:pPr>
        <w:pStyle w:val="Heading1"/>
        <w:spacing w:before="80" w:after="80" w:line="252" w:lineRule="auto"/>
      </w:pPr>
      <w:r>
        <w:rPr>
          <w:rFonts w:ascii="Malgun Gothic" w:hAnsi="Malgun Gothic" w:eastAsia="Malgun Gothic" w:cs="Malgun Gothic"/>
          <w:b/>
          <w:i w:val="0"/>
          <w:color w:val="000000"/>
          <w:sz w:val="20"/>
        </w:rPr>
        <w:t>1. Fisher-KPP 검증 regime</w:t>
      </w:r>
    </w:p>
    <w:p>
      <w:pPr>
        <w:spacing w:before="0" w:after="80" w:line="252" w:lineRule="auto"/>
      </w:pPr>
      <w:r>
        <w:rPr>
          <w:rFonts w:ascii="Malgun Gothic" w:hAnsi="Malgun Gothic" w:eastAsia="Malgun Gothic" w:cs="Malgun Gothic"/>
          <w:b w:val="0"/>
          <w:i w:val="0"/>
          <w:color w:val="000000"/>
          <w:sz w:val="20"/>
        </w:rPr>
        <w:t>본 RK4 모듈의 기본 검증 문제는 Fisher-KPP 반응-확산 방정식 u_t = D Δu + r u(1-u)이다. 이번 수정에서는 시간 적분법을 변경하지 않고, 검증 regime만 폐형식 travelling-wave 해가 존재하는 문제로 정렬하였다. 목적은 수치해가 정확해와 직접 비교될 수 있도록 초기조건, Dirichlet boundary condition, 최종 시간, 격자, 오차 지표를 모두 같은 해에서 유도하는 것이다.</w:t>
      </w:r>
    </w:p>
    <w:p>
      <w:pPr>
        <w:spacing w:before="0" w:after="80" w:line="252" w:lineRule="auto"/>
      </w:pPr>
      <w:r>
        <w:rPr>
          <w:rFonts w:ascii="Malgun Gothic" w:hAnsi="Malgun Gothic" w:eastAsia="Malgun Gothic" w:cs="Malgun Gothic"/>
          <w:b w:val="0"/>
          <w:i w:val="0"/>
          <w:color w:val="000000"/>
          <w:sz w:val="20"/>
        </w:rPr>
        <w:t>1차원 기준 문제는 Ablowitz-Zeppetella travelling wave이다. 확산계수와 반응계수는 D = 1, r = 1로 두며, 특수 파속 c = 5/sqrt(6)에서 u(x,t) = {1 + exp[(x - c t - x0)/sqrt(6)]}^{-2}가 정확해가 된다. 계산 영역은 x in [-20, 20], 최종 시간은 T = 10, 기본 격자는 Nx = 201, 시간 간격은 dt = 0.005이다.</w:t>
      </w:r>
    </w:p>
    <w:p>
      <w:pPr>
        <w:spacing w:before="0" w:after="80" w:line="252" w:lineRule="auto"/>
      </w:pPr>
      <w:r>
        <w:rPr>
          <w:rFonts w:ascii="Malgun Gothic" w:hAnsi="Malgun Gothic" w:eastAsia="Malgun Gothic" w:cs="Malgun Gothic"/>
          <w:b w:val="0"/>
          <w:i w:val="0"/>
          <w:color w:val="000000"/>
          <w:sz w:val="20"/>
        </w:rPr>
        <w:t>2차원 기준 문제는 generalized Fisher-KPP exact wave의 p = 1 경우이다. 방정식은 u_t = u_xx + u_yy + u(1-u)이고, phi = pi/4, C = 0을 두면 u(x,y,t) = [0.5 tanh((x+y)/(4 sqrt(3)) + 5t/12) + 0.5]^2가 정확해이다. 계산 영역은 x,y in [-15, 15], 최종 시간은 T = 3, 기본 격자는 61 x 61, 시간 간격은 dt = 0.01이다.</w:t>
      </w:r>
    </w:p>
    <w:p>
      <w:pPr>
        <w:spacing w:before="0" w:after="80" w:line="252" w:lineRule="auto"/>
      </w:pPr>
      <w:r>
        <w:rPr>
          <w:rFonts w:ascii="Malgun Gothic" w:hAnsi="Malgun Gothic" w:eastAsia="Malgun Gothic" w:cs="Malgun Gothic"/>
          <w:b w:val="0"/>
          <w:i w:val="0"/>
          <w:color w:val="000000"/>
          <w:sz w:val="20"/>
        </w:rPr>
        <w:t>두 문제 모두 초기조건은 정확해의 t = 0 단면을 사용한다. 1D에서는 양 끝점 x = -L/2, x = L/2의 Dirichlet 값을 정확해에서 가져오고, 2D에서는 네 변 x = -L/2, x = L/2, y = -L/2, y = L/2의 Dirichlet 값을 같은 2D 정확해에서 가져온다. 따라서 경계 오차와 내부 시간 적분 오차를 분리하여 평가할 수 있다.</w:t>
      </w:r>
    </w:p>
    <w:tbl>
      <w:tblGrid>
        <w:gridCol w:w="1944"/>
        <w:gridCol w:w="4248"/>
        <w:gridCol w:w="4680"/>
      </w:tblGrid>
      <w:tblPr>
        <w:tblStyle w:val="TableGrid"/>
        <w:tblW w:type="dxa" w:w="1087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1944"/>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항목</w:t>
            </w:r>
          </w:p>
        </w:tc>
        <w:tc>
          <w:tcPr>
            <w:tcW w:type="dxa" w:w="4248"/>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1D 기준</w:t>
            </w:r>
          </w:p>
        </w:tc>
        <w:tc>
          <w:tcPr>
            <w:tcW w:type="dxa" w:w="468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2D 기준</w:t>
            </w:r>
          </w:p>
        </w:tc>
      </w:tr>
      <w:tr>
        <w:tc>
          <w:tcPr>
            <w:tcW w:type="dxa" w:w="194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PDE</w:t>
            </w:r>
          </w:p>
        </w:tc>
        <w:tc>
          <w:tcPr>
            <w:tcW w:type="dxa" w:w="424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u_t = u_xx + u(1-u)</w:t>
            </w:r>
          </w:p>
        </w:tc>
        <w:tc>
          <w:tcPr>
            <w:tcW w:type="dxa" w:w="468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u_t = u_xx + u_yy + u(1-u)</w:t>
            </w:r>
          </w:p>
        </w:tc>
      </w:tr>
      <w:tr>
        <w:tc>
          <w:tcPr>
            <w:tcW w:type="dxa" w:w="194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Exact solution</w:t>
            </w:r>
          </w:p>
        </w:tc>
        <w:tc>
          <w:tcPr>
            <w:tcW w:type="dxa" w:w="424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Ablowitz-Zeppetella exponential wave</w:t>
            </w:r>
          </w:p>
        </w:tc>
        <w:tc>
          <w:tcPr>
            <w:tcW w:type="dxa" w:w="468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Generalized Fisher-KPP tanh wave, p=1</w:t>
            </w:r>
          </w:p>
        </w:tc>
      </w:tr>
      <w:tr>
        <w:tc>
          <w:tcPr>
            <w:tcW w:type="dxa" w:w="194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Domain</w:t>
            </w:r>
          </w:p>
        </w:tc>
        <w:tc>
          <w:tcPr>
            <w:tcW w:type="dxa" w:w="424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[-20, 20]</w:t>
            </w:r>
          </w:p>
        </w:tc>
        <w:tc>
          <w:tcPr>
            <w:tcW w:type="dxa" w:w="468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[-15, 15] x [-15, 15]</w:t>
            </w:r>
          </w:p>
        </w:tc>
      </w:tr>
      <w:tr>
        <w:tc>
          <w:tcPr>
            <w:tcW w:type="dxa" w:w="194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Default grid/time</w:t>
            </w:r>
          </w:p>
        </w:tc>
        <w:tc>
          <w:tcPr>
            <w:tcW w:type="dxa" w:w="424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Nx=201, T=10, dt=0.005</w:t>
            </w:r>
          </w:p>
        </w:tc>
        <w:tc>
          <w:tcPr>
            <w:tcW w:type="dxa" w:w="468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61x61, T=3, dt=0.01</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2. 공간 이산화와 Dirichlet boundary</w:t>
      </w:r>
    </w:p>
    <w:p>
      <w:pPr>
        <w:spacing w:before="0" w:after="80" w:line="252" w:lineRule="auto"/>
      </w:pPr>
      <w:r>
        <w:rPr>
          <w:rFonts w:ascii="Malgun Gothic" w:hAnsi="Malgun Gothic" w:eastAsia="Malgun Gothic" w:cs="Malgun Gothic"/>
          <w:b w:val="0"/>
          <w:i w:val="0"/>
          <w:color w:val="000000"/>
          <w:sz w:val="20"/>
        </w:rPr>
        <w:t>공간 이산화는 method-of-lines 관점에서 수행된다. 1D 격자는 x_i = -L/2 + i Δx, i = 0, 1, ..., Nx - 1로 정의하고, 내부점 i = 1, ..., Nx - 2에서 u_xx ≈ (u_{i-1} - 2u_i + u_{i+1}) / Δx^2의 중심차분을 사용한다. 양 끝점은 미지수가 아니라 정확해에서 산출된 boundary value로 고정된다.</w:t>
      </w:r>
    </w:p>
    <w:p>
      <w:pPr>
        <w:spacing w:before="0" w:after="80" w:line="252" w:lineRule="auto"/>
      </w:pPr>
      <w:r>
        <w:rPr>
          <w:rFonts w:ascii="Malgun Gothic" w:hAnsi="Malgun Gothic" w:eastAsia="Malgun Gothic" w:cs="Malgun Gothic"/>
          <w:b w:val="0"/>
          <w:i w:val="0"/>
          <w:color w:val="000000"/>
          <w:sz w:val="20"/>
        </w:rPr>
        <w:t>1D Dirichlet boundary contribution을 포함하면 내부점에 대한 Laplacian matrix는 삼중대각 행렬이 된다. 본 RK4 구현에서는 전체 벡터에 boundary 값을 먼저 삽입하고, 내부점에 대해서만 RHS를 계산한다. 이 방식은 행렬을 명시적으로 구성하지 않아도 동일한 중심차분 stencil과 boundary contribution을 재현한다.</w:t>
      </w:r>
    </w:p>
    <w:p>
      <w:pPr>
        <w:spacing w:before="0" w:after="80" w:line="252" w:lineRule="auto"/>
      </w:pPr>
      <w:r>
        <w:rPr>
          <w:rFonts w:ascii="Malgun Gothic" w:hAnsi="Malgun Gothic" w:eastAsia="Malgun Gothic" w:cs="Malgun Gothic"/>
          <w:b w:val="0"/>
          <w:i w:val="0"/>
          <w:color w:val="000000"/>
          <w:sz w:val="20"/>
        </w:rPr>
        <w:t>2D에서는 동일한 중심차분 stencil을 x, y 방향에 적용한다. 내부 격자점에서 Δu ≈ (u_{i-1,j} - 2u_{i,j} + u_{i+1,j})/Δx^2 + (u_{i,j-1} - 2u_{i,j} + u_{i,j+1})/Δy^2이며, 정사각 균일 격자를 사용하므로 Δx = Δy이다. 행렬 관점에서는 L_2D = L_x ⊗ I_y + I_x ⊗ L_y로 해석된다.</w:t>
      </w:r>
    </w:p>
    <w:p>
      <w:pPr>
        <w:spacing w:before="0" w:after="80" w:line="252" w:lineRule="auto"/>
      </w:pPr>
      <w:r>
        <w:rPr>
          <w:rFonts w:ascii="Malgun Gothic" w:hAnsi="Malgun Gothic" w:eastAsia="Malgun Gothic" w:cs="Malgun Gothic"/>
          <w:b w:val="0"/>
          <w:i w:val="0"/>
          <w:color w:val="000000"/>
          <w:sz w:val="20"/>
        </w:rPr>
        <w:t>이번 regime에서 2D boundary는 no-flux가 아니라 exact Dirichlet boundary이다. 매 RK4 stage마다 stage time에 해당하는 정확해를 네 변에 다시 삽입한다. 따라서 수치해가 받는 경계 정보는 분석해와 일치하며, final relative L2와 absolute error map은 공간 이산화와 RK4 시간 적분에서 발생한 오차를 주로 반영한다.</w:t>
      </w:r>
    </w:p>
    <w:tbl>
      <w:tblGrid>
        <w:gridCol w:w="3024"/>
        <w:gridCol w:w="7128"/>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3024"/>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구분</w:t>
            </w:r>
          </w:p>
        </w:tc>
        <w:tc>
          <w:tcPr>
            <w:tcW w:type="dxa" w:w="7128"/>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적용 방식</w:t>
            </w:r>
          </w:p>
        </w:tc>
      </w:tr>
      <w:tr>
        <w:tc>
          <w:tcPr>
            <w:tcW w:type="dxa" w:w="302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1D 내부점</w:t>
            </w:r>
          </w:p>
        </w:tc>
        <w:tc>
          <w:tcPr>
            <w:tcW w:type="dxa" w:w="712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second-order central finite difference</w:t>
            </w:r>
          </w:p>
        </w:tc>
      </w:tr>
      <w:tr>
        <w:tc>
          <w:tcPr>
            <w:tcW w:type="dxa" w:w="302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1D boundary</w:t>
            </w:r>
          </w:p>
        </w:tc>
        <w:tc>
          <w:tcPr>
            <w:tcW w:type="dxa" w:w="712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u(-L/2,t), u(L/2,t)를 정확해에서 부여</w:t>
            </w:r>
          </w:p>
        </w:tc>
      </w:tr>
      <w:tr>
        <w:tc>
          <w:tcPr>
            <w:tcW w:type="dxa" w:w="302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2D 내부점</w:t>
            </w:r>
          </w:p>
        </w:tc>
        <w:tc>
          <w:tcPr>
            <w:tcW w:type="dxa" w:w="712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L_x ⊗ I_y + I_x ⊗ L_y 형태의 five-point Laplacian</w:t>
            </w:r>
          </w:p>
        </w:tc>
      </w:tr>
      <w:tr>
        <w:tc>
          <w:tcPr>
            <w:tcW w:type="dxa" w:w="3024"/>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2D boundary</w:t>
            </w:r>
          </w:p>
        </w:tc>
        <w:tc>
          <w:tcPr>
            <w:tcW w:type="dxa" w:w="7128"/>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네 변 모두 generalized Fisher-KPP 정확해에서 부여</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3. RK4 시간 적분과 안정성 판정</w:t>
      </w:r>
    </w:p>
    <w:p>
      <w:pPr>
        <w:spacing w:before="0" w:after="80" w:line="252" w:lineRule="auto"/>
      </w:pPr>
      <w:r>
        <w:rPr>
          <w:rFonts w:ascii="Malgun Gothic" w:hAnsi="Malgun Gothic" w:eastAsia="Malgun Gothic" w:cs="Malgun Gothic"/>
          <w:b w:val="0"/>
          <w:i w:val="0"/>
          <w:color w:val="000000"/>
          <w:sz w:val="20"/>
        </w:rPr>
        <w:t>시간 적분은 고전적 4단계 Runge-Kutta 방법을 그대로 사용한다. 반이산화된 ODE를 u_t = F(u,t)로 쓰면 k1 = F(u^n,t_n), k2 = F(u^n + dt k1/2, t_n + dt/2), k3 = F(u^n + dt k2/2, t_n + dt/2), k4 = F(u^n + dt k3, t_n + dt)이고, u^{n+1} = u^n + dt(k1 + 2k2 + 2k3 + k4)/6으로 갱신한다.</w:t>
      </w:r>
    </w:p>
    <w:p>
      <w:pPr>
        <w:spacing w:before="0" w:after="80" w:line="252" w:lineRule="auto"/>
      </w:pPr>
      <w:r>
        <w:rPr>
          <w:rFonts w:ascii="Malgun Gothic" w:hAnsi="Malgun Gothic" w:eastAsia="Malgun Gothic" w:cs="Malgun Gothic"/>
          <w:b w:val="0"/>
          <w:i w:val="0"/>
          <w:color w:val="000000"/>
          <w:sz w:val="20"/>
        </w:rPr>
        <w:t>Dirichlet 문제에서는 각 stage 입력장에 해당 stage time의 boundary value를 먼저 삽입한 뒤 RHS를 계산한다. 따라서 k1, k2, k3, k4가 모두 같은 물리적 boundary condition 아래에서 계산된다. 이 절차는 방법을 바꾸는 것이 아니라, 정확해 기반 검증 문제에 맞도록 stage boundary를 일관되게 적용하는 것이다.</w:t>
      </w:r>
    </w:p>
    <w:p>
      <w:pPr>
        <w:spacing w:before="0" w:after="80" w:line="252" w:lineRule="auto"/>
      </w:pPr>
      <w:r>
        <w:rPr>
          <w:rFonts w:ascii="Malgun Gothic" w:hAnsi="Malgun Gothic" w:eastAsia="Malgun Gothic" w:cs="Malgun Gothic"/>
          <w:b w:val="0"/>
          <w:i w:val="0"/>
          <w:color w:val="000000"/>
          <w:sz w:val="20"/>
        </w:rPr>
        <w:t>명시적 RK4는 diffusion-dominated semi-discrete system에서 안정성 제약을 가진다. 코드의 실용 판정은 dt_diff_limit = 0.69 Δx^2 / (dim D)와 reaction scale 1/r 중 작은 값을 safety factor와 비교한다. 1D 기본값 dt = 0.005와 2D 기본값 dt = 0.01은 해당 기준 안에 있으며, 안정성 위반 시 실행 전에 오류를 발생시킨다.</w:t>
      </w:r>
    </w:p>
    <w:p>
      <w:pPr>
        <w:spacing w:before="0" w:after="80" w:line="252" w:lineRule="auto"/>
      </w:pPr>
      <w:r>
        <w:rPr>
          <w:rFonts w:ascii="Malgun Gothic" w:hAnsi="Malgun Gothic" w:eastAsia="Malgun Gothic" w:cs="Malgun Gothic"/>
          <w:b w:val="0"/>
          <w:i w:val="0"/>
          <w:color w:val="000000"/>
          <w:sz w:val="20"/>
        </w:rPr>
        <w:t>오차 평가는 exact final field와 numerical final field의 relative L2, final absolute error, 1D front position, 2D mass 및 front-area 지표로 수행한다. 정확해 기반 regime이므로 RK4 결과는 단순한 reference curve가 아니라 분석해와 직접 대조되는 수치해이다. 별도의 forward Euler, backward Euler, trapezoidal 비교에서는 같은 grid, 같은 dt, 같은 초기조건을 유지하여 시간 적분법의 차이만 관찰한다.</w:t>
      </w:r>
    </w:p>
    <w:tbl>
      <w:tblGrid>
        <w:gridCol w:w="2520"/>
        <w:gridCol w:w="7632"/>
      </w:tblGrid>
      <w:tblPr>
        <w:tblStyle w:val="TableGrid"/>
        <w:tblW w:type="dxa" w:w="10152"/>
        <w:jc w:val="center"/>
        <w:tblLayout w:type="fixed"/>
        <w:tblLook w:firstColumn="1" w:firstRow="1" w:lastColumn="0" w:lastRow="0" w:noHBand="0" w:noVBand="1" w:val="04A0"/>
        <w:tblCellMar>
          <w:top w:w="90" w:type="dxa"/>
          <w:bottom w:w="90" w:type="dxa"/>
          <w:left w:w="140" w:type="dxa"/>
          <w:right w:w="140" w:type="dxa"/>
          <w:start w:w="140" w:type="dxa"/>
          <w:end w:w="140" w:type="dxa"/>
        </w:tblCellMar>
        <w:tblInd w:type="dxa" w:w="0"/>
      </w:tblPr>
      <w:tr>
        <w:tc>
          <w:tcPr>
            <w:tcW w:type="dxa" w:w="2520"/>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항목</w:t>
            </w:r>
          </w:p>
        </w:tc>
        <w:tc>
          <w:tcPr>
            <w:tcW w:type="dxa" w:w="7632"/>
            <w:vAlign w:val="center"/>
          </w:tcPr>
          <w:p>
            <w:pPr>
              <w:spacing w:before="0" w:after="0" w:line="240" w:lineRule="auto"/>
              <w:jc w:val="center"/>
            </w:pPr>
            <w:r>
              <w:rPr>
                <w:rFonts w:ascii="Malgun Gothic" w:hAnsi="Malgun Gothic" w:eastAsia="Malgun Gothic" w:cs="Malgun Gothic"/>
                <w:b w:val="0"/>
                <w:i w:val="0"/>
                <w:color w:val="000000"/>
                <w:sz w:val="20"/>
              </w:rPr>
            </w:r>
            <w:r>
              <w:rPr>
                <w:rFonts w:ascii="Malgun Gothic" w:hAnsi="Malgun Gothic" w:eastAsia="Malgun Gothic" w:cs="Malgun Gothic"/>
                <w:b/>
                <w:i w:val="0"/>
                <w:color w:val="000000"/>
                <w:sz w:val="20"/>
              </w:rPr>
              <w:t>검증 원칙</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Method</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classical RK4, four-stage explicit time integration</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Stage boundary</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각 stage time의 exact Dirichlet 값을 삽입</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Stability</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diffusion scale과 reaction scale을 동시에 점검</w:t>
            </w:r>
          </w:p>
        </w:tc>
      </w:tr>
      <w:tr>
        <w:tc>
          <w:tcPr>
            <w:tcW w:type="dxa" w:w="2520"/>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Metrics</w:t>
            </w:r>
          </w:p>
        </w:tc>
        <w:tc>
          <w:tcPr>
            <w:tcW w:type="dxa" w:w="7632"/>
            <w:vAlign w:val="center"/>
          </w:tcPr>
          <w:p>
            <w:pPr>
              <w:spacing w:before="0" w:after="0" w:line="240" w:lineRule="auto"/>
              <w:jc w:val="left"/>
            </w:pPr>
            <w:r>
              <w:rPr>
                <w:rFonts w:ascii="Malgun Gothic" w:hAnsi="Malgun Gothic" w:eastAsia="Malgun Gothic" w:cs="Malgun Gothic"/>
                <w:b w:val="0"/>
                <w:i w:val="0"/>
                <w:color w:val="000000"/>
                <w:sz w:val="20"/>
              </w:rPr>
            </w:r>
            <w:r>
              <w:rPr>
                <w:rFonts w:ascii="Malgun Gothic" w:hAnsi="Malgun Gothic" w:eastAsia="Malgun Gothic" w:cs="Malgun Gothic"/>
                <w:b w:val="0"/>
                <w:i w:val="0"/>
                <w:color w:val="000000"/>
                <w:sz w:val="20"/>
              </w:rPr>
              <w:t>relative L2, absolute error, front/mass diagnostics</w:t>
            </w:r>
          </w:p>
        </w:tc>
      </w:tr>
    </w:tbl>
    <w:p>
      <w:pPr>
        <w:spacing w:before="0" w:after="80" w:line="252" w:lineRule="auto"/>
      </w:pPr>
    </w:p>
    <w:p>
      <w:r>
        <w:rPr>
          <w:rFonts w:ascii="Malgun Gothic" w:hAnsi="Malgun Gothic" w:eastAsia="Malgun Gothic" w:cs="Malgun Gothic"/>
          <w:b w:val="0"/>
          <w:i w:val="0"/>
          <w:color w:val="000000"/>
          <w:sz w:val="20"/>
        </w:rPr>
        <w:br w:type="page"/>
      </w:r>
    </w:p>
    <w:p>
      <w:pPr>
        <w:pStyle w:val="Heading1"/>
        <w:spacing w:before="80" w:after="80" w:line="252" w:lineRule="auto"/>
      </w:pPr>
      <w:r>
        <w:rPr>
          <w:rFonts w:ascii="Malgun Gothic" w:hAnsi="Malgun Gothic" w:eastAsia="Malgun Gothic" w:cs="Malgun Gothic"/>
          <w:b/>
          <w:i w:val="0"/>
          <w:color w:val="000000"/>
          <w:sz w:val="20"/>
        </w:rPr>
        <w:t>4. 결과 해석과 보고 기준</w:t>
      </w:r>
    </w:p>
    <w:p>
      <w:pPr>
        <w:spacing w:before="0" w:after="80" w:line="252" w:lineRule="auto"/>
      </w:pPr>
      <w:r>
        <w:rPr>
          <w:rFonts w:ascii="Malgun Gothic" w:hAnsi="Malgun Gothic" w:eastAsia="Malgun Gothic" w:cs="Malgun Gothic"/>
          <w:b w:val="0"/>
          <w:i w:val="0"/>
          <w:color w:val="000000"/>
          <w:sz w:val="20"/>
        </w:rPr>
        <w:t>1D 결과에서 front가 오른쪽으로 이동하고 final relative L2가 작은 값으로 유지되면, 중심차분 공간 이산화와 RK4 시간 적분이 Ablowitz-Zeppetella travelling wave의 phase와 profile을 함께 포착하고 있음을 의미한다. 격자를 세분화하면 중심차분의 2차 공간 정확도에 따라 오차가 감소하는 경향을 보이며, dt를 충분히 줄인 조건에서는 공간 오차가 전체 오차를 지배한다.</w:t>
      </w:r>
    </w:p>
    <w:p>
      <w:pPr>
        <w:spacing w:before="0" w:after="80" w:line="252" w:lineRule="auto"/>
      </w:pPr>
      <w:r>
        <w:rPr>
          <w:rFonts w:ascii="Malgun Gothic" w:hAnsi="Malgun Gothic" w:eastAsia="Malgun Gothic" w:cs="Malgun Gothic"/>
          <w:b w:val="0"/>
          <w:i w:val="0"/>
          <w:color w:val="000000"/>
          <w:sz w:val="20"/>
        </w:rPr>
        <w:t>2D 결과에서 tanh front가 대각선 방향으로 이동하고 exact final field와 수치해의 차이가 작으면, Kronecker 형태의 2D Laplacian stencil과 stage별 exact Dirichlet 처리가 정상적으로 작동한다고 해석한다. 2D 문제는 내부 격자점 수가 (Nx - 2)(Ny - 2)에 비례하므로 격자 세분화는 정확도 향상과 계산비 증가를 동시에 유발한다.</w:t>
      </w:r>
    </w:p>
    <w:p>
      <w:pPr>
        <w:spacing w:before="0" w:after="80" w:line="252" w:lineRule="auto"/>
      </w:pPr>
      <w:r>
        <w:rPr>
          <w:rFonts w:ascii="Malgun Gothic" w:hAnsi="Malgun Gothic" w:eastAsia="Malgun Gothic" w:cs="Malgun Gothic"/>
          <w:b w:val="0"/>
          <w:i w:val="0"/>
          <w:color w:val="000000"/>
          <w:sz w:val="20"/>
        </w:rPr>
        <w:t>시간 수렴 차수는 exact solution 대비 오차가 아니라 같은 공간 격자에서 매우 작은 시간간격으로 계산한 reference solution과의 final-time relative L2 차이로 측정한다. 1D에서는 Nx = 201, dt_ref = 0.00125를 기준으로 dt = 0.02, 0.01, 0.005, 0.0025 해를 비교하고, 2D에서는 Nx = Ny = 121, dt_ref = 0.0025를 기준으로 dt = 0.02, 0.01, 0.005 해를 비교한다. 관측 시간 수렴차수는 p_i = log(E_i/E_{i+1}) / log(dt_i/dt_{i+1})로 계산한다. 현재 실행 결과 1D는 약 4.57, 4.25, 4.21, 2D는 약 4.34, 4.24의 차수를 보여 classical RK4의 4차 시간 정확도와 일치한다.</w:t>
      </w:r>
    </w:p>
    <w:p>
      <w:pPr>
        <w:spacing w:before="0" w:after="80" w:line="252" w:lineRule="auto"/>
      </w:pPr>
      <w:r>
        <w:rPr>
          <w:rFonts w:ascii="Malgun Gothic" w:hAnsi="Malgun Gothic" w:eastAsia="Malgun Gothic" w:cs="Malgun Gothic"/>
          <w:b w:val="0"/>
          <w:i w:val="0"/>
          <w:color w:val="000000"/>
          <w:sz w:val="20"/>
        </w:rPr>
        <w:t>보고서와 notebook의 핵심 표기는 PDE, 정확해, 초기조건, boundary condition, 공간 이산화, RK4 stage 적용 순서, 안정성 판정, 오차 지표의 순서로 구성한다. 이는 사진의 설명 흐름을 따르되, 연구 재현성을 위해 모든 상수와 비교 기준을 명시한 형식이다. 본 문서의 수식과 코드 설정은 fisher-kpp-rk4 패키지의 현재 기본값과 일치한다.</w:t>
      </w:r>
    </w:p>
    <w:p>
      <w:pPr>
        <w:spacing w:before="0" w:after="80" w:line="252" w:lineRule="auto"/>
      </w:pPr>
      <w:r>
        <w:rPr>
          <w:rFonts w:ascii="Malgun Gothic" w:hAnsi="Malgun Gothic" w:eastAsia="Malgun Gothic" w:cs="Malgun Gothic"/>
          <w:b w:val="0"/>
          <w:i w:val="0"/>
          <w:color w:val="000000"/>
          <w:sz w:val="20"/>
        </w:rPr>
        <w:t>이 기준은 RK4를 다른 방법으로 대체하지 않는다. 변경된 것은 검증 regime이며, solver는 여전히 method-of-lines, second-order central finite difference, classical RK4를 사용한다. 따라서 기존 RK4 결과와 새 결과의 차이는 수치법 변경이 아니라 정확해를 갖는 Fisher-KPP benchmark로 문제 설정을 정렬한 데서 발생한다.</w:t>
      </w:r>
    </w:p>
    <w:p>
      <w:pPr>
        <w:pStyle w:val="Heading2"/>
        <w:spacing w:before="80" w:after="80" w:line="252" w:lineRule="auto"/>
      </w:pPr>
      <w:r>
        <w:rPr>
          <w:rFonts w:ascii="Malgun Gothic" w:hAnsi="Malgun Gothic" w:eastAsia="Malgun Gothic" w:cs="Malgun Gothic"/>
          <w:b/>
          <w:i w:val="0"/>
          <w:color w:val="000000"/>
          <w:sz w:val="20"/>
        </w:rPr>
        <w:t>참고문헌</w:t>
      </w:r>
    </w:p>
    <w:p>
      <w:pPr>
        <w:spacing w:before="0" w:after="60" w:line="240" w:lineRule="auto"/>
        <w:ind w:hanging="259" w:left="259"/>
      </w:pPr>
      <w:r>
        <w:rPr>
          <w:rFonts w:ascii="Malgun Gothic" w:hAnsi="Malgun Gothic" w:eastAsia="Malgun Gothic" w:cs="Malgun Gothic"/>
          <w:b w:val="0"/>
          <w:i w:val="0"/>
          <w:color w:val="000000"/>
          <w:sz w:val="20"/>
        </w:rPr>
        <w:t>Fisher, Ronald A. 1937. “The Wave of Advance of Advantageous Genes.” Annals of Eugenics 7 (4): 355–369.</w:t>
      </w:r>
    </w:p>
    <w:p>
      <w:pPr>
        <w:spacing w:before="0" w:after="60" w:line="240" w:lineRule="auto"/>
        <w:ind w:hanging="259" w:left="259"/>
      </w:pPr>
      <w:r>
        <w:rPr>
          <w:rFonts w:ascii="Malgun Gothic" w:hAnsi="Malgun Gothic" w:eastAsia="Malgun Gothic" w:cs="Malgun Gothic"/>
          <w:b w:val="0"/>
          <w:i w:val="0"/>
          <w:color w:val="000000"/>
          <w:sz w:val="20"/>
        </w:rPr>
        <w:t>Kolmogorov, A. N., I. G. Petrovsky, and N. S. Piskunov. 1937. “A Study of the Equation of Diffusion with Increase in the Quantity of Matter, and Its Application to a Biological Problem.” Bulletin of Moscow University, Mathematics and Mechanics 1: 1–25.</w:t>
      </w:r>
    </w:p>
    <w:p>
      <w:pPr>
        <w:spacing w:before="0" w:after="60" w:line="240" w:lineRule="auto"/>
        <w:ind w:hanging="259" w:left="259"/>
      </w:pPr>
      <w:r>
        <w:rPr>
          <w:rFonts w:ascii="Malgun Gothic" w:hAnsi="Malgun Gothic" w:eastAsia="Malgun Gothic" w:cs="Malgun Gothic"/>
          <w:b w:val="0"/>
          <w:i w:val="0"/>
          <w:color w:val="000000"/>
          <w:sz w:val="20"/>
        </w:rPr>
        <w:t>Ablowitz, Mark J., and Anthony Zeppetella. 1979. “Explicit Solutions of Fisher’s Equation for a Special Wave Speed.” Bulletin of Mathematical Biology 41: 835–840.</w:t>
      </w:r>
    </w:p>
    <w:p>
      <w:pPr>
        <w:spacing w:before="0" w:after="60" w:line="240" w:lineRule="auto"/>
        <w:ind w:hanging="259" w:left="259"/>
      </w:pPr>
      <w:r>
        <w:rPr>
          <w:rFonts w:ascii="Malgun Gothic" w:hAnsi="Malgun Gothic" w:eastAsia="Malgun Gothic" w:cs="Malgun Gothic"/>
          <w:b w:val="0"/>
          <w:i w:val="0"/>
          <w:color w:val="000000"/>
          <w:sz w:val="20"/>
        </w:rPr>
        <w:t>Butcher, John C. 2016. Numerical Methods for Ordinary Differential Equations. 3rd ed. Chichester: Wiley.</w:t>
      </w:r>
    </w:p>
    <w:p>
      <w:pPr>
        <w:spacing w:before="0" w:after="60" w:line="240" w:lineRule="auto"/>
        <w:ind w:hanging="259" w:left="259"/>
      </w:pPr>
      <w:r>
        <w:rPr>
          <w:rFonts w:ascii="Malgun Gothic" w:hAnsi="Malgun Gothic" w:eastAsia="Malgun Gothic" w:cs="Malgun Gothic"/>
          <w:b w:val="0"/>
          <w:i w:val="0"/>
          <w:color w:val="000000"/>
          <w:sz w:val="20"/>
        </w:rPr>
        <w:t>Morton, K. W., and D. F. Mayers. 2005. Numerical Solution of Partial Differential Equations: An Introduction. 2nd ed. Cambridge: Cambridge University Press.</w:t>
      </w:r>
    </w:p>
    <w:p>
      <w:pPr>
        <w:spacing w:before="0" w:after="60" w:line="240" w:lineRule="auto"/>
        <w:ind w:hanging="259" w:left="259"/>
      </w:pPr>
      <w:r>
        <w:rPr>
          <w:rFonts w:ascii="Malgun Gothic" w:hAnsi="Malgun Gothic" w:eastAsia="Malgun Gothic" w:cs="Malgun Gothic"/>
          <w:b w:val="0"/>
          <w:i w:val="0"/>
          <w:color w:val="000000"/>
          <w:sz w:val="20"/>
        </w:rPr>
        <w:t>Zhou, Hanyu, and Yu-Xin Ren. 2024. “High-Order Accurate Implicit Scheme Based on Temporal Reconstruction for Solving Compressible Navier-Stokes Equations.” In Proceedings of the 12th International Conference on Computational Fluid Dynamics, Kobe, Japan.</w:t>
      </w:r>
    </w:p>
    <w:sectPr w:rsidR="00FC693F" w:rsidRPr="0006063C" w:rsidSect="00034616">
      <w:headerReference w:type="default" r:id="rId9"/>
      <w:pgSz w:w="12240" w:h="15840"/>
      <w:pgMar w:top="893" w:right="979" w:bottom="893" w:left="97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2" w:lineRule="auto"/>
      <w:jc w:val="center"/>
    </w:pPr>
    <w:r>
      <w:rPr>
        <w:rFonts w:ascii="Malgun Gothic" w:hAnsi="Malgun Gothic" w:eastAsia="Malgun Gothic" w:cs="Malgun Gothic"/>
        <w:b w:val="0"/>
        <w:i w:val="0"/>
        <w:color w:val="000000"/>
        <w:sz w:val="20"/>
      </w:rPr>
      <w:t>Fisher-KPP RK4 검증 regime 및 수치해석 사양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Malgun Gothic" w:hAnsi="Malgun Gothic" w:eastAsia="Malgun Gothic" w:cs="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line="252" w:lineRule="auto"/>
      <w:outlineLvl w:val="0"/>
    </w:pPr>
    <w:rPr>
      <w:rFonts w:asciiTheme="majorHAnsi" w:eastAsiaTheme="majorEastAsia" w:hAnsiTheme="majorHAnsi" w:cstheme="majorBidi" w:ascii="Malgun Gothic" w:hAnsi="Malgun Gothic" w:eastAsia="Malgun Gothic" w:cs="Malgun Gothic"/>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80" w:line="252" w:lineRule="auto"/>
      <w:outlineLvl w:val="1"/>
    </w:pPr>
    <w:rPr>
      <w:rFonts w:asciiTheme="majorHAnsi" w:eastAsiaTheme="majorEastAsia" w:hAnsiTheme="majorHAnsi" w:cstheme="majorBidi" w:ascii="Malgun Gothic" w:hAnsi="Malgun Gothic" w:eastAsia="Malgun Gothic" w:cs="Malgun Gothic"/>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80" w:line="252" w:lineRule="auto"/>
      <w:outlineLvl w:val="2"/>
    </w:pPr>
    <w:rPr>
      <w:rFonts w:asciiTheme="majorHAnsi" w:eastAsiaTheme="majorEastAsia" w:hAnsiTheme="majorHAnsi" w:cstheme="majorBidi" w:ascii="Malgun Gothic" w:hAnsi="Malgun Gothic" w:eastAsia="Malgun Gothic" w:cs="Malgun Gothic"/>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