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Malgun Gothic" w:hAnsi="Malgun Gothic" w:eastAsia="Malgun Gothic" w:cs="Malgun Gothic"/>
          <w:b/>
          <w:i w:val="0"/>
          <w:color w:val="000000"/>
          <w:sz w:val="20"/>
        </w:rPr>
        <w:t>RK4 및 Fisher-KPP PDE 구현 설명</w:t>
      </w:r>
    </w:p>
    <w:p>
      <w:pPr>
        <w:spacing w:before="0" w:after="160" w:line="252" w:lineRule="auto"/>
        <w:jc w:val="center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Fisher-KPP PDE 수치해석 구현 사양</w:t>
      </w:r>
    </w:p>
    <w:p>
      <w:pPr>
        <w:pStyle w:val="Heading1"/>
        <w:spacing w:before="80" w:after="80" w:line="252" w:lineRule="auto"/>
      </w:pPr>
      <w:r>
        <w:rPr>
          <w:rFonts w:ascii="Malgun Gothic" w:hAnsi="Malgun Gothic" w:eastAsia="Malgun Gothic" w:cs="Malgun Gothic"/>
          <w:b/>
          <w:i w:val="0"/>
          <w:color w:val="000000"/>
          <w:sz w:val="20"/>
        </w:rPr>
        <w:t>1. PDE와 비교 기준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RK4와 PDE 수치해석 계열은 u_t = D Laplacian(u) + r u(1-u)를 기준 방정식으로 사용한다. 기본 synthetic 문제와 산림청 문제는 같은 Fisher-KPP family로 정리되며, 기본 문제에서는 Gaussian seed 또는 Ablowitz-Zeppetella travelling wave를 사용하고, 산림청 문제에서는 gridded observation density를 초기장으로 사용한다.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Ablowitz-Zeppetella 기준은 c = 5/sqrt(6)에서 명시적 travelling wave가 존재하므로, forward solver와 PINN이 front phase를 얼마나 따라가는지 확인하기 좋다. 1D 물리 좌표 x in [-20,20]은 단위 좌표로 변환되고, 따라서 코드상 diffusion은 D_norm = 1/40^2로 들어간다.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공정 비교는 같은 PDE, 같은 초기조건, 같은 final time, 같은 공간 grid, 같은 metric을 사용한다. RK4, explicit Euler, backward Euler, trapezoidal은 시간 적분법만 다르게 두고 나머지 조건을 고정한다. same-problem RK4는 현재 PINN 문제 설정과 동일한 초기장, 계수, boundary condition, 평가 지표를 사용한다.</w:t>
      </w:r>
    </w:p>
    <w:tbl>
      <w:tblGrid>
        <w:gridCol w:w="2232"/>
        <w:gridCol w:w="7920"/>
      </w:tblGrid>
      <w:tblPr>
        <w:tblStyle w:val="TableGrid"/>
        <w:tblW w:type="dxa" w:w="10152"/>
        <w:jc w:val="center"/>
        <w:tblLayout w:type="fixed"/>
        <w:tblLook w:firstColumn="1" w:firstRow="1" w:lastColumn="0" w:lastRow="0" w:noHBand="0" w:noVBand="1" w:val="04A0"/>
        <w:tblCellMar>
          <w:top w:w="90" w:type="dxa"/>
          <w:bottom w:w="90" w:type="dxa"/>
          <w:left w:w="140" w:type="dxa"/>
          <w:right w:w="140" w:type="dxa"/>
          <w:start w:w="140" w:type="dxa"/>
          <w:end w:w="140" w:type="dxa"/>
        </w:tblCellMar>
        <w:tblInd w:type="dxa" w:w="0"/>
      </w:tblP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</w:rPr>
              <w:t>비교 요소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</w:rPr>
              <w:t>고정 기준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PDE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동일한 Fisher-KPP D, r, boundary condition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초기조건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Gaussian seed, AZ exact profile, 또는 산림청 첫 관측 밀도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평가지표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final L2, max abs error, front area, active-front, mass</w:t>
            </w:r>
          </w:p>
        </w:tc>
      </w:tr>
    </w:tbl>
    <w:p>
      <w:pPr>
        <w:spacing w:before="0" w:after="80" w:line="252" w:lineRule="auto"/>
      </w:pPr>
    </w:p>
    <w:p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br w:type="page"/>
      </w:r>
    </w:p>
    <w:p>
      <w:pPr>
        <w:pStyle w:val="Heading1"/>
        <w:spacing w:before="80" w:after="80" w:line="252" w:lineRule="auto"/>
      </w:pPr>
      <w:r>
        <w:rPr>
          <w:rFonts w:ascii="Malgun Gothic" w:hAnsi="Malgun Gothic" w:eastAsia="Malgun Gothic" w:cs="Malgun Gothic"/>
          <w:b/>
          <w:i w:val="0"/>
          <w:color w:val="000000"/>
          <w:sz w:val="20"/>
        </w:rPr>
        <w:t>2. RK4 구현과 안정성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RK4는 method-of-lines 방식이다. 먼저 공간 Laplacian을 finite difference로 이산화하고, resulting ODE system을 네 단계 Runge-Kutta로 적분한다. 기본 2D square 문제에서는 no-flux Neumann boundary를 edge padding으로 구현한다. AZ 2D 검증은 exact travelling-wave profile을 x 방향으로 반복하고 boundary에는 exact Dirichlet 값을 적용한다.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명시적 RK4도 확산 CFL 제약을 피할 수 없다. 현재 안정성 점검은 dt_diff_limit = 0.69 dx^2 / (dim D)와 reaction scale 1/r 중 작은 값을 safety factor와 비교한다. 산림청 masked RK4도 같은 취지로 dt가 diffusion/reaction practical limit을 넘으면 에러를 내며, land/sea 경계에서는 masked no-flux flux를 사용한다.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RK4는 정확한 초기장과 계수가 주어진 forward problem에서 낮은 격자 오차를 제공한다. PINN은 연속 함수와 계수, residual, 관측, front 제약을 동시에 최적화한다. 따라서 RK4는 reference solver로, PINN은 inverse와 sparse-data 상황까지 포괄하는 continuous surrogate로 배치된다.</w:t>
      </w:r>
    </w:p>
    <w:tbl>
      <w:tblGrid>
        <w:gridCol w:w="2952"/>
        <w:gridCol w:w="7200"/>
      </w:tblGrid>
      <w:tblPr>
        <w:tblStyle w:val="TableGrid"/>
        <w:tblW w:type="dxa" w:w="10152"/>
        <w:jc w:val="center"/>
        <w:tblLayout w:type="fixed"/>
        <w:tblLook w:firstColumn="1" w:firstRow="1" w:lastColumn="0" w:lastRow="0" w:noHBand="0" w:noVBand="1" w:val="04A0"/>
        <w:tblCellMar>
          <w:top w:w="90" w:type="dxa"/>
          <w:bottom w:w="90" w:type="dxa"/>
          <w:left w:w="140" w:type="dxa"/>
          <w:right w:w="140" w:type="dxa"/>
          <w:start w:w="140" w:type="dxa"/>
          <w:end w:w="140" w:type="dxa"/>
        </w:tblCellMar>
        <w:tblInd w:type="dxa" w:w="0"/>
      </w:tblPr>
      <w:tr>
        <w:tc>
          <w:tcPr>
            <w:tcW w:type="dxa" w:w="295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</w:rPr>
              <w:t>구현 함수</w:t>
            </w:r>
          </w:p>
        </w:tc>
        <w:tc>
          <w:tcPr>
            <w:tcW w:type="dxa" w:w="72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</w:rPr>
              <w:t>역할</w:t>
            </w:r>
          </w:p>
        </w:tc>
      </w:tr>
      <w:tr>
        <w:tc>
          <w:tcPr>
            <w:tcW w:type="dxa" w:w="29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forward_fisher_kpp_rk4</w:t>
            </w:r>
          </w:p>
        </w:tc>
        <w:tc>
          <w:tcPr>
            <w:tcW w:type="dxa" w:w="72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Gaussian seed 2D same-problem reference</w:t>
            </w:r>
          </w:p>
        </w:tc>
      </w:tr>
      <w:tr>
        <w:tc>
          <w:tcPr>
            <w:tcW w:type="dxa" w:w="29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forward_ablowitz_zeppetella_rk4</w:t>
            </w:r>
          </w:p>
        </w:tc>
        <w:tc>
          <w:tcPr>
            <w:tcW w:type="dxa" w:w="72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AZ travelling wave exact-boundary reference</w:t>
            </w:r>
          </w:p>
        </w:tc>
      </w:tr>
      <w:tr>
        <w:tc>
          <w:tcPr>
            <w:tcW w:type="dxa" w:w="29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simulate_density_rk4_at_times</w:t>
            </w:r>
          </w:p>
        </w:tc>
        <w:tc>
          <w:tcPr>
            <w:tcW w:type="dxa" w:w="720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산림청 월별/연도별 arbitrary output time reference</w:t>
            </w:r>
          </w:p>
        </w:tc>
      </w:tr>
    </w:tbl>
    <w:p>
      <w:pPr>
        <w:spacing w:before="0" w:after="80" w:line="252" w:lineRule="auto"/>
      </w:pPr>
    </w:p>
    <w:p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br w:type="page"/>
      </w:r>
    </w:p>
    <w:p>
      <w:pPr>
        <w:pStyle w:val="Heading1"/>
        <w:spacing w:before="80" w:after="80" w:line="252" w:lineRule="auto"/>
      </w:pPr>
      <w:r>
        <w:rPr>
          <w:rFonts w:ascii="Malgun Gothic" w:hAnsi="Malgun Gothic" w:eastAsia="Malgun Gothic" w:cs="Malgun Gothic"/>
          <w:b/>
          <w:i w:val="0"/>
          <w:color w:val="000000"/>
          <w:sz w:val="20"/>
        </w:rPr>
        <w:t>3. 산림청 PDE/RK4와 조치 전 월별 축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산림청 RK4는 첫 관측 밀도를 초기조건으로 놓고, land mask 내부에서만 반응-확산을 진행한다. 바다 셀은 0으로 유지되며, diffusion은 land/sea 경계에서 바다로 흐르지 않는다. 물리 prior는 기본적으로 D = 15.5 km^2/year, r = 0.70 1/year이고, front speed는 2 sqrt(D r) = 6.5879 km/year로 계산된다.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좌표 정규화 때문에 D는 두 단계로 해석된다. 물리 diffusion D_phys는 grid scale L_km에 의해 D_norm = D_phys / L_km^2로 바뀌고, 실제 PDE residual이나 RK4에서는 x/y extent 차이에 맞춰 D_x = D_phys / width_km^2, D_y = D_phys / height_km^2가 쓰인다. reaction은 시간 단위가 year이므로 r_per_year로 그대로 들어간다.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조치 전 월별 모드는 raw CSV의 조사일자와 방제완료여부를 사용한다. 기본 proxy는 누적 infected and completed count가 50,000을 넘는 첫 날짜이고, 제공 raw bundle에서는 2016-10-02가 나온다. 그래서 기본 비교는 2016-01부터 2016-09까지의 observed density, RK4 density, PINN density를 같은 elapsed-year time grid에서 비교한다.</w:t>
      </w:r>
    </w:p>
    <w:tbl>
      <w:tblGrid>
        <w:gridCol w:w="2232"/>
        <w:gridCol w:w="7920"/>
      </w:tblGrid>
      <w:tblPr>
        <w:tblStyle w:val="TableGrid"/>
        <w:tblW w:type="dxa" w:w="10152"/>
        <w:jc w:val="center"/>
        <w:tblLayout w:type="fixed"/>
        <w:tblLook w:firstColumn="1" w:firstRow="1" w:lastColumn="0" w:lastRow="0" w:noHBand="0" w:noVBand="1" w:val="04A0"/>
        <w:tblCellMar>
          <w:top w:w="90" w:type="dxa"/>
          <w:bottom w:w="90" w:type="dxa"/>
          <w:left w:w="140" w:type="dxa"/>
          <w:right w:w="140" w:type="dxa"/>
          <w:start w:w="140" w:type="dxa"/>
          <w:end w:w="140" w:type="dxa"/>
        </w:tblCellMar>
        <w:tblInd w:type="dxa" w:w="0"/>
      </w:tblP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</w:rPr>
              <w:t>값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</w:rPr>
              <w:t>현재 기본값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D_phys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15.5 km^2/year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r_phys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0.70 1/year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action proxy</w:t>
            </w:r>
          </w:p>
        </w:tc>
        <w:tc>
          <w:tcPr>
            <w:tcW w:type="dxa" w:w="792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</w:rPr>
              <w:t>cumulative infected-completed count &gt; 50,000, default 2016-10-02</w:t>
            </w:r>
          </w:p>
        </w:tc>
      </w:tr>
    </w:tbl>
    <w:p>
      <w:pPr>
        <w:spacing w:before="0" w:after="80" w:line="252" w:lineRule="auto"/>
      </w:pPr>
    </w:p>
    <w:p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br w:type="page"/>
      </w:r>
    </w:p>
    <w:p>
      <w:pPr>
        <w:pStyle w:val="Heading1"/>
        <w:spacing w:before="80" w:after="80" w:line="252" w:lineRule="auto"/>
      </w:pPr>
      <w:r>
        <w:rPr>
          <w:rFonts w:ascii="Malgun Gothic" w:hAnsi="Malgun Gothic" w:eastAsia="Malgun Gothic" w:cs="Malgun Gothic"/>
          <w:b/>
          <w:i w:val="0"/>
          <w:color w:val="000000"/>
          <w:sz w:val="20"/>
        </w:rPr>
        <w:t>4. 공정 비교와 참고문헌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RK4와 implicit/explicit 계열 수치해석법의 공정 비교는 accuracy, stability, solve cost를 함께 평가한다. explicit methods는 안정성 조건을 직접 반영하고 구현이 단순하다. backward Euler와 trapezoidal은 큰 dt에서도 안정적인 시간 적분을 제공하며 step마다 선형 또는 비선형 solve를 수행한다. RK4는 네 개의 stage를 사용해 같은 grid와 smooth solution에서 높은 정확도와 구현 균형을 제공한다.</w:t>
      </w:r>
    </w:p>
    <w:p>
      <w:pPr>
        <w:spacing w:before="0" w:after="80" w:line="252" w:lineRule="auto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산림청 문제의 PDE/RK4 계열은 관측된 감염 밀도를 시작점으로 land-constrained Fisher-KPP spread를 계산한다. 방제, 신고 지연, 벌목, 기주 분포, 매개충 이동 효과는 effective D/r과 관측 밀도장에 반영되며, RK4 결과는 PINN과 같은 조건에서 비교되는 forward numerical reference로 사용된다.</w:t>
      </w:r>
    </w:p>
    <w:p>
      <w:pPr>
        <w:pStyle w:val="Heading2"/>
        <w:spacing w:before="80" w:after="80" w:line="252" w:lineRule="auto"/>
      </w:pPr>
      <w:r>
        <w:rPr>
          <w:rFonts w:ascii="Malgun Gothic" w:hAnsi="Malgun Gothic" w:eastAsia="Malgun Gothic" w:cs="Malgun Gothic"/>
          <w:b/>
          <w:i w:val="0"/>
          <w:color w:val="000000"/>
          <w:sz w:val="20"/>
        </w:rPr>
        <w:t>참고문헌</w:t>
      </w:r>
    </w:p>
    <w:p>
      <w:pPr>
        <w:spacing w:before="0" w:after="60" w:line="240" w:lineRule="auto"/>
        <w:ind w:hanging="259" w:left="259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Fisher, Ronald A. 1937. “The Wave of Advance of Advantageous Genes.” Annals of Eugenics 7 (4): 355–369.</w:t>
      </w:r>
    </w:p>
    <w:p>
      <w:pPr>
        <w:spacing w:before="0" w:after="60" w:line="240" w:lineRule="auto"/>
        <w:ind w:hanging="259" w:left="259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Kolmogorov, A. N., I. G. Petrovsky, and N. S. Piskunov. 1937. “A Study of the Equation of Diffusion with Increase in the Quantity of Matter, and Its Application to a Biological Problem.” Bulletin of Moscow University, Mathematics and Mechanics 1: 1–25.</w:t>
      </w:r>
    </w:p>
    <w:p>
      <w:pPr>
        <w:spacing w:before="0" w:after="60" w:line="240" w:lineRule="auto"/>
        <w:ind w:hanging="259" w:left="259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Ablowitz, Mark J., and Anthony Zeppetella. 1979. “Explicit Solutions of Fisher’s Equation for a Special Wave Speed.” Bulletin of Mathematical Biology 41: 835–840.</w:t>
      </w:r>
    </w:p>
    <w:p>
      <w:pPr>
        <w:spacing w:before="0" w:after="60" w:line="240" w:lineRule="auto"/>
        <w:ind w:hanging="259" w:left="259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Butcher, John C. 2016. Numerical Methods for Ordinary Differential Equations. 3rd ed. Chichester: Wiley.</w:t>
      </w:r>
    </w:p>
    <w:p>
      <w:pPr>
        <w:spacing w:before="0" w:after="60" w:line="240" w:lineRule="auto"/>
        <w:ind w:hanging="259" w:left="259"/>
      </w:pPr>
      <w:r>
        <w:rPr>
          <w:rFonts w:ascii="Malgun Gothic" w:hAnsi="Malgun Gothic" w:eastAsia="Malgun Gothic" w:cs="Malgun Gothic"/>
          <w:b w:val="0"/>
          <w:i w:val="0"/>
          <w:color w:val="000000"/>
          <w:sz w:val="20"/>
        </w:rPr>
        <w:t>Morton, K. W., and D. F. Mayers. 2005. Numerical Solution of Partial Differential Equations: An Introduction. 2nd ed. Cambridge: Cambridge University Press.</w:t>
      </w:r>
    </w:p>
    <w:sectPr w:rsidR="00FC693F" w:rsidRPr="0006063C" w:rsidSect="00034616">
      <w:headerReference w:type="default" r:id="rId9"/>
      <w:pgSz w:w="12240" w:h="15840"/>
      <w:pgMar w:top="893" w:right="979" w:bottom="893" w:left="979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52" w:lineRule="auto"/>
      <w:jc w:val="center"/>
    </w:pPr>
    <w:r>
      <w:rPr>
        <w:rFonts w:ascii="Malgun Gothic" w:hAnsi="Malgun Gothic" w:eastAsia="Malgun Gothic" w:cs="Malgun Gothic"/>
        <w:b w:val="0"/>
        <w:i w:val="0"/>
        <w:color w:val="000000"/>
        <w:sz w:val="20"/>
      </w:rPr>
      <w:t>RK4 및 Fisher-KPP PDE 구현 설명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80"/>
    </w:pPr>
    <w:rPr>
      <w:rFonts w:ascii="Malgun Gothic" w:hAnsi="Malgun Gothic" w:eastAsia="Malgun Gothic" w:cs="Malgun Gothi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252" w:lineRule="auto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000000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252" w:lineRule="auto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80" w:line="252" w:lineRule="auto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