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2" w:lineRule="auto"/>
        <w:jc w:val="center"/>
      </w:pPr>
      <w:r>
        <w:rPr>
          <w:rFonts w:ascii="Malgun Gothic" w:hAnsi="Malgun Gothic" w:eastAsia="Malgun Gothic" w:cs="Malgun Gothic"/>
          <w:b/>
          <w:i w:val="0"/>
          <w:color w:val="000000"/>
          <w:sz w:val="20"/>
        </w:rPr>
        <w:t>RK4 및 Fisher-KPP PDE 구현 설명</w:t>
      </w:r>
    </w:p>
    <w:p>
      <w:pPr>
        <w:spacing w:before="0" w:after="160" w:line="252" w:lineRule="auto"/>
        <w:jc w:val="center"/>
      </w:pPr>
      <w:r>
        <w:rPr>
          <w:rFonts w:ascii="Malgun Gothic" w:hAnsi="Malgun Gothic" w:eastAsia="Malgun Gothic" w:cs="Malgun Gothic"/>
          <w:b w:val="0"/>
          <w:i w:val="0"/>
          <w:color w:val="000000"/>
          <w:sz w:val="20"/>
        </w:rPr>
        <w:t>현재 fisher-pinn 저장소 구현 기준 기술 문서</w:t>
      </w:r>
    </w:p>
    <w:p>
      <w:pPr>
        <w:pStyle w:val="Heading1"/>
        <w:spacing w:before="80" w:after="80" w:line="252" w:lineRule="auto"/>
      </w:pPr>
      <w:r>
        <w:rPr>
          <w:rFonts w:ascii="Malgun Gothic" w:hAnsi="Malgun Gothic" w:eastAsia="Malgun Gothic" w:cs="Malgun Gothic"/>
          <w:b/>
          <w:i w:val="0"/>
          <w:color w:val="000000"/>
          <w:sz w:val="20"/>
        </w:rPr>
        <w:t>1. PDE와 비교 기준</w:t>
      </w:r>
    </w:p>
    <w:p>
      <w:pPr>
        <w:spacing w:before="0" w:after="80" w:line="252" w:lineRule="auto"/>
      </w:pPr>
      <w:r>
        <w:rPr>
          <w:rFonts w:ascii="Malgun Gothic" w:hAnsi="Malgun Gothic" w:eastAsia="Malgun Gothic" w:cs="Malgun Gothic"/>
          <w:b w:val="0"/>
          <w:i w:val="0"/>
          <w:color w:val="000000"/>
          <w:sz w:val="20"/>
        </w:rPr>
        <w:t>이 문서는 RK4와 PDE 수치해석 부분만 다룬다. 기준 방정식은 u_t = D Laplacian(u) + r u(1-u)이며, 기본 synthetic 문제와 산림청 문제 모두 같은 Fisher-KPP family로 정리한다. 기본 문제에서는 Gaussian seed 또는 Ablowitz-Zeppetella travelling wave를 사용하고, 산림청 문제에서는 gridded observation density를 초기장으로 사용한다.</w:t>
      </w:r>
    </w:p>
    <w:p>
      <w:pPr>
        <w:spacing w:before="0" w:after="80" w:line="252" w:lineRule="auto"/>
      </w:pPr>
      <w:r>
        <w:rPr>
          <w:rFonts w:ascii="Malgun Gothic" w:hAnsi="Malgun Gothic" w:eastAsia="Malgun Gothic" w:cs="Malgun Gothic"/>
          <w:b w:val="0"/>
          <w:i w:val="0"/>
          <w:color w:val="000000"/>
          <w:sz w:val="20"/>
        </w:rPr>
        <w:t>Ablowitz-Zeppetella 기준은 c = 5/sqrt(6)에서 명시적 travelling wave가 존재하므로, forward solver와 PINN이 front phase를 얼마나 따라가는지 확인하기 좋다. 1D 물리 좌표 x in [-20,20]은 단위 좌표로 변환되고, 따라서 코드상 diffusion은 D_norm = 1/40^2로 들어간다.</w:t>
      </w:r>
    </w:p>
    <w:p>
      <w:pPr>
        <w:spacing w:before="0" w:after="80" w:line="252" w:lineRule="auto"/>
      </w:pPr>
      <w:r>
        <w:rPr>
          <w:rFonts w:ascii="Malgun Gothic" w:hAnsi="Malgun Gothic" w:eastAsia="Malgun Gothic" w:cs="Malgun Gothic"/>
          <w:b w:val="0"/>
          <w:i w:val="0"/>
          <w:color w:val="000000"/>
          <w:sz w:val="20"/>
        </w:rPr>
        <w:t>공정 비교의 핵심은 같은 PDE, 같은 초기조건, 같은 final time, 같은 공간 grid, 같은 metric을 쓰는 것이다. RK4, explicit Euler, backward Euler, trapezoidal은 시간 적분법만 다르게 놓고 나머지 조건은 고정해야 한다. 이 원칙 때문에 코드의 same-problem RK4는 별도의 zip 원본 문제를 그대로 쓰지 않고 현재 PINN 문제 설정으로 포팅되었다.</w:t>
      </w:r>
    </w:p>
    <w:tbl>
      <w:tblGrid>
        <w:gridCol w:w="2232"/>
        <w:gridCol w:w="792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2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비교 요소</w:t>
            </w:r>
          </w:p>
        </w:tc>
        <w:tc>
          <w:tcPr>
            <w:tcW w:type="dxa" w:w="79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고정 기준</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PDE</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동일한 Fisher-KPP D, r, boundary condition</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초기조건</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Gaussian seed, AZ exact profile, 또는 산림청 첫 관측 밀도</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평가지표</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final L2, max abs error, front area, active-front, mass</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2. RK4 구현과 안정성</w:t>
      </w:r>
    </w:p>
    <w:p>
      <w:pPr>
        <w:spacing w:before="0" w:after="80" w:line="252" w:lineRule="auto"/>
      </w:pPr>
      <w:r>
        <w:rPr>
          <w:rFonts w:ascii="Malgun Gothic" w:hAnsi="Malgun Gothic" w:eastAsia="Malgun Gothic" w:cs="Malgun Gothic"/>
          <w:b w:val="0"/>
          <w:i w:val="0"/>
          <w:color w:val="000000"/>
          <w:sz w:val="20"/>
        </w:rPr>
        <w:t>RK4는 method-of-lines 방식이다. 먼저 공간 Laplacian을 finite difference로 이산화하고, resulting ODE system을 네 단계 Runge-Kutta로 적분한다. 기본 2D square 문제에서는 no-flux Neumann boundary를 edge padding으로 구현한다. AZ 2D 검증은 exact travelling-wave profile을 x 방향으로 반복하고 boundary에는 exact Dirichlet 값을 적용한다.</w:t>
      </w:r>
    </w:p>
    <w:p>
      <w:pPr>
        <w:spacing w:before="0" w:after="80" w:line="252" w:lineRule="auto"/>
      </w:pPr>
      <w:r>
        <w:rPr>
          <w:rFonts w:ascii="Malgun Gothic" w:hAnsi="Malgun Gothic" w:eastAsia="Malgun Gothic" w:cs="Malgun Gothic"/>
          <w:b w:val="0"/>
          <w:i w:val="0"/>
          <w:color w:val="000000"/>
          <w:sz w:val="20"/>
        </w:rPr>
        <w:t>명시적 RK4도 확산 CFL 제약을 피할 수 없다. 현재 안정성 점검은 dt_diff_limit = 0.69 dx^2 / (dim D)와 reaction scale 1/r 중 작은 값을 safety factor와 비교한다. 산림청 masked RK4도 같은 취지로 dt가 diffusion/reaction practical limit을 넘으면 에러를 내며, land/sea 경계에서는 masked no-flux flux를 사용한다.</w:t>
      </w:r>
    </w:p>
    <w:p>
      <w:pPr>
        <w:spacing w:before="0" w:after="80" w:line="252" w:lineRule="auto"/>
      </w:pPr>
      <w:r>
        <w:rPr>
          <w:rFonts w:ascii="Malgun Gothic" w:hAnsi="Malgun Gothic" w:eastAsia="Malgun Gothic" w:cs="Malgun Gothic"/>
          <w:b w:val="0"/>
          <w:i w:val="0"/>
          <w:color w:val="000000"/>
          <w:sz w:val="20"/>
        </w:rPr>
        <w:t>RK4가 PINN보다 훨씬 낮은 forward error를 보이는 것은 정상이다. RK4는 정확한 초기장과 계수가 주어진 상태에서 격자 위의 상태만 다음 시간으로 보내면 되지만, PINN은 연속 함수와 계수, residual, 관측, front 제약을 동시에 최적화한다. 따라서 RK4는 reference solver이고, PINN은 inverse와 sparse-data 상황까지 고려한 surrogate이다.</w:t>
      </w:r>
    </w:p>
    <w:tbl>
      <w:tblGrid>
        <w:gridCol w:w="2952"/>
        <w:gridCol w:w="720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95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구현 함수</w:t>
            </w:r>
          </w:p>
        </w:tc>
        <w:tc>
          <w:tcPr>
            <w:tcW w:type="dxa" w:w="720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역할</w:t>
            </w:r>
          </w:p>
        </w:tc>
      </w:tr>
      <w:tr>
        <w:tc>
          <w:tcPr>
            <w:tcW w:type="dxa" w:w="295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forward_fisher_kpp_rk4</w:t>
            </w:r>
          </w:p>
        </w:tc>
        <w:tc>
          <w:tcPr>
            <w:tcW w:type="dxa" w:w="720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Gaussian seed 2D same-problem reference</w:t>
            </w:r>
          </w:p>
        </w:tc>
      </w:tr>
      <w:tr>
        <w:tc>
          <w:tcPr>
            <w:tcW w:type="dxa" w:w="295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forward_ablowitz_zeppetella_rk4</w:t>
            </w:r>
          </w:p>
        </w:tc>
        <w:tc>
          <w:tcPr>
            <w:tcW w:type="dxa" w:w="720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AZ travelling wave exact-boundary reference</w:t>
            </w:r>
          </w:p>
        </w:tc>
      </w:tr>
      <w:tr>
        <w:tc>
          <w:tcPr>
            <w:tcW w:type="dxa" w:w="295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simulate_density_rk4_at_times</w:t>
            </w:r>
          </w:p>
        </w:tc>
        <w:tc>
          <w:tcPr>
            <w:tcW w:type="dxa" w:w="720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산림청 월별/연도별 arbitrary output time reference</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3. 산림청 PDE/RK4와 조치 전 월별 축</w:t>
      </w:r>
    </w:p>
    <w:p>
      <w:pPr>
        <w:spacing w:before="0" w:after="80" w:line="252" w:lineRule="auto"/>
      </w:pPr>
      <w:r>
        <w:rPr>
          <w:rFonts w:ascii="Malgun Gothic" w:hAnsi="Malgun Gothic" w:eastAsia="Malgun Gothic" w:cs="Malgun Gothic"/>
          <w:b w:val="0"/>
          <w:i w:val="0"/>
          <w:color w:val="000000"/>
          <w:sz w:val="20"/>
        </w:rPr>
        <w:t>산림청 RK4는 첫 관측 밀도를 초기조건으로 놓고, land mask 내부에서만 반응-확산을 진행한다. 바다 셀은 0으로 유지되며, diffusion은 land/sea 경계에서 바다로 흐르지 않는다. 물리 prior는 기본적으로 D = 15.5 km^2/year, r = 0.70 1/year이고, front speed는 2 sqrt(D r) = 6.5879 km/year로 계산된다.</w:t>
      </w:r>
    </w:p>
    <w:p>
      <w:pPr>
        <w:spacing w:before="0" w:after="80" w:line="252" w:lineRule="auto"/>
      </w:pPr>
      <w:r>
        <w:rPr>
          <w:rFonts w:ascii="Malgun Gothic" w:hAnsi="Malgun Gothic" w:eastAsia="Malgun Gothic" w:cs="Malgun Gothic"/>
          <w:b w:val="0"/>
          <w:i w:val="0"/>
          <w:color w:val="000000"/>
          <w:sz w:val="20"/>
        </w:rPr>
        <w:t>좌표 정규화 때문에 D는 두 단계로 해석된다. 물리 diffusion D_phys는 grid scale L_km에 의해 D_norm = D_phys / L_km^2로 바뀌고, 실제 PDE residual이나 RK4에서는 x/y extent 차이에 맞춰 D_x = D_phys / width_km^2, D_y = D_phys / height_km^2가 쓰인다. reaction은 시간 단위가 year이므로 r_per_year로 그대로 들어간다.</w:t>
      </w:r>
    </w:p>
    <w:p>
      <w:pPr>
        <w:spacing w:before="0" w:after="80" w:line="252" w:lineRule="auto"/>
      </w:pPr>
      <w:r>
        <w:rPr>
          <w:rFonts w:ascii="Malgun Gothic" w:hAnsi="Malgun Gothic" w:eastAsia="Malgun Gothic" w:cs="Malgun Gothic"/>
          <w:b w:val="0"/>
          <w:i w:val="0"/>
          <w:color w:val="000000"/>
          <w:sz w:val="20"/>
        </w:rPr>
        <w:t>조치 전 월별 모드는 raw CSV의 조사일자와 방제완료여부를 사용한다. 기본 proxy는 누적 infected and completed count가 50,000을 넘는 첫 날짜이고, 제공 raw bundle에서는 2016-10-02가 나온다. 그래서 기본 비교는 2016-01부터 2016-09까지의 observed density, RK4 density, PINN density를 같은 elapsed-year time grid에서 비교한다.</w:t>
      </w:r>
    </w:p>
    <w:tbl>
      <w:tblGrid>
        <w:gridCol w:w="2232"/>
        <w:gridCol w:w="792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2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값</w:t>
            </w:r>
          </w:p>
        </w:tc>
        <w:tc>
          <w:tcPr>
            <w:tcW w:type="dxa" w:w="79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현재 기본값</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D_phys</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15.5 km^2/year</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r_phys</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0.70 1/year</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action proxy</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cumulative infected-completed count &gt; 50,000, default 2016-10-02</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4. 해석 한계와 참고문헌</w:t>
      </w:r>
    </w:p>
    <w:p>
      <w:pPr>
        <w:spacing w:before="0" w:after="80" w:line="252" w:lineRule="auto"/>
      </w:pPr>
      <w:r>
        <w:rPr>
          <w:rFonts w:ascii="Malgun Gothic" w:hAnsi="Malgun Gothic" w:eastAsia="Malgun Gothic" w:cs="Malgun Gothic"/>
          <w:b w:val="0"/>
          <w:i w:val="0"/>
          <w:color w:val="000000"/>
          <w:sz w:val="20"/>
        </w:rPr>
        <w:t>RK4와 implicit/explicit 계열 수치해석법의 공정 비교는 accuracy만이 아니라 사용 목적도 분리해서 읽어야 한다. explicit methods는 안정성 조건을 더 직접적으로 받지만 구현이 단순하다. backward Euler와 trapezoidal은 더 큰 dt에서 안정적일 수 있으나 매 step에서 선형 또는 비선형 solve가 필요하다. RK4는 중간 단계가 네 번 필요하지만 같은 grid와 smooth solution에서는 높은 정확도와 구현 균형이 좋다.</w:t>
      </w:r>
    </w:p>
    <w:p>
      <w:pPr>
        <w:spacing w:before="0" w:after="80" w:line="252" w:lineRule="auto"/>
      </w:pPr>
      <w:r>
        <w:rPr>
          <w:rFonts w:ascii="Malgun Gothic" w:hAnsi="Malgun Gothic" w:eastAsia="Malgun Gothic" w:cs="Malgun Gothic"/>
          <w:b w:val="0"/>
          <w:i w:val="0"/>
          <w:color w:val="000000"/>
          <w:sz w:val="20"/>
        </w:rPr>
        <w:t>산림청 문제에서 RK4는 관측된 감염 밀도만으로 방제, 신고 지연, 벌목, 기주 분포, 매개충 이동을 모두 설명하지 못한다. 따라서 PDE/RK4 문서의 역할은 생태학적 최종 모델 선언이 아니라, PINN과 비교할 수 있는 명확한 forward numerical baseline을 제공하는 것이다.</w:t>
      </w:r>
    </w:p>
    <w:p>
      <w:pPr>
        <w:pStyle w:val="Heading2"/>
        <w:spacing w:before="80" w:after="80" w:line="252" w:lineRule="auto"/>
      </w:pPr>
      <w:r>
        <w:rPr>
          <w:rFonts w:ascii="Malgun Gothic" w:hAnsi="Malgun Gothic" w:eastAsia="Malgun Gothic" w:cs="Malgun Gothic"/>
          <w:b/>
          <w:i w:val="0"/>
          <w:color w:val="000000"/>
          <w:sz w:val="20"/>
        </w:rPr>
        <w:t>참고문헌</w:t>
      </w:r>
    </w:p>
    <w:p>
      <w:pPr>
        <w:spacing w:before="0" w:after="60" w:line="240" w:lineRule="auto"/>
        <w:ind w:hanging="259" w:left="259"/>
      </w:pPr>
      <w:r>
        <w:rPr>
          <w:rFonts w:ascii="Malgun Gothic" w:hAnsi="Malgun Gothic" w:eastAsia="Malgun Gothic" w:cs="Malgun Gothic"/>
          <w:b w:val="0"/>
          <w:i w:val="0"/>
          <w:color w:val="000000"/>
          <w:sz w:val="20"/>
        </w:rPr>
        <w:t>Fisher, Ronald A. 1937. “The Wave of Advance of Advantageous Genes.” Annals of Eugenics 7 (4): 355–369.</w:t>
      </w:r>
    </w:p>
    <w:p>
      <w:pPr>
        <w:spacing w:before="0" w:after="60" w:line="240" w:lineRule="auto"/>
        <w:ind w:hanging="259" w:left="259"/>
      </w:pPr>
      <w:r>
        <w:rPr>
          <w:rFonts w:ascii="Malgun Gothic" w:hAnsi="Malgun Gothic" w:eastAsia="Malgun Gothic" w:cs="Malgun Gothic"/>
          <w:b w:val="0"/>
          <w:i w:val="0"/>
          <w:color w:val="000000"/>
          <w:sz w:val="20"/>
        </w:rPr>
        <w:t>Kolmogorov, A. N., I. G. Petrovsky, and N. S. Piskunov. 1937. “A Study of the Equation of Diffusion with Increase in the Quantity of Matter, and Its Application to a Biological Problem.” Bulletin of Moscow University, Mathematics and Mechanics 1: 1–25.</w:t>
      </w:r>
    </w:p>
    <w:p>
      <w:pPr>
        <w:spacing w:before="0" w:after="60" w:line="240" w:lineRule="auto"/>
        <w:ind w:hanging="259" w:left="259"/>
      </w:pPr>
      <w:r>
        <w:rPr>
          <w:rFonts w:ascii="Malgun Gothic" w:hAnsi="Malgun Gothic" w:eastAsia="Malgun Gothic" w:cs="Malgun Gothic"/>
          <w:b w:val="0"/>
          <w:i w:val="0"/>
          <w:color w:val="000000"/>
          <w:sz w:val="20"/>
        </w:rPr>
        <w:t>Ablowitz, Mark J., and Anthony Zeppetella. 1979. “Explicit Solutions of Fisher’s Equation for a Special Wave Speed.” Bulletin of Mathematical Biology 41: 835–840.</w:t>
      </w:r>
    </w:p>
    <w:p>
      <w:pPr>
        <w:spacing w:before="0" w:after="60" w:line="240" w:lineRule="auto"/>
        <w:ind w:hanging="259" w:left="259"/>
      </w:pPr>
      <w:r>
        <w:rPr>
          <w:rFonts w:ascii="Malgun Gothic" w:hAnsi="Malgun Gothic" w:eastAsia="Malgun Gothic" w:cs="Malgun Gothic"/>
          <w:b w:val="0"/>
          <w:i w:val="0"/>
          <w:color w:val="000000"/>
          <w:sz w:val="20"/>
        </w:rPr>
        <w:t>Butcher, John C. 2016. Numerical Methods for Ordinary Differential Equations. 3rd ed. Chichester: Wiley.</w:t>
      </w:r>
    </w:p>
    <w:p>
      <w:pPr>
        <w:spacing w:before="0" w:after="60" w:line="240" w:lineRule="auto"/>
        <w:ind w:hanging="259" w:left="259"/>
      </w:pPr>
      <w:r>
        <w:rPr>
          <w:rFonts w:ascii="Malgun Gothic" w:hAnsi="Malgun Gothic" w:eastAsia="Malgun Gothic" w:cs="Malgun Gothic"/>
          <w:b w:val="0"/>
          <w:i w:val="0"/>
          <w:color w:val="000000"/>
          <w:sz w:val="20"/>
        </w:rPr>
        <w:t>Morton, K. W., and D. F. Mayers. 2005. Numerical Solution of Partial Differential Equations: An Introduction. 2nd ed. Cambridge: Cambridge University Press.</w:t>
      </w:r>
    </w:p>
    <w:sectPr w:rsidR="00FC693F" w:rsidRPr="0006063C" w:rsidSect="00034616">
      <w:headerReference w:type="default" r:id="rId9"/>
      <w:pgSz w:w="12240" w:h="15840"/>
      <w:pgMar w:top="893" w:right="979" w:bottom="893" w:left="979"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2" w:lineRule="auto"/>
      <w:jc w:val="center"/>
    </w:pPr>
    <w:r>
      <w:rPr>
        <w:rFonts w:ascii="Malgun Gothic" w:hAnsi="Malgun Gothic" w:eastAsia="Malgun Gothic" w:cs="Malgun Gothic"/>
        <w:b w:val="0"/>
        <w:i w:val="0"/>
        <w:color w:val="000000"/>
        <w:sz w:val="20"/>
      </w:rPr>
      <w:t>RK4 및 Fisher-KPP PDE 구현 설명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Malgun Gothic" w:hAnsi="Malgun Gothic" w:eastAsia="Malgun Gothic" w:cs="Malgun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252" w:lineRule="auto"/>
      <w:outlineLvl w:val="0"/>
    </w:pPr>
    <w:rPr>
      <w:rFonts w:asciiTheme="majorHAnsi" w:eastAsiaTheme="majorEastAsia" w:hAnsiTheme="majorHAnsi" w:cstheme="majorBidi" w:ascii="Malgun Gothic" w:hAnsi="Malgun Gothic" w:eastAsia="Malgun Gothic" w:cs="Malgun Gothic"/>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80" w:after="80" w:line="252" w:lineRule="auto"/>
      <w:outlineLvl w:val="1"/>
    </w:pPr>
    <w:rPr>
      <w:rFonts w:asciiTheme="majorHAnsi" w:eastAsiaTheme="majorEastAsia" w:hAnsiTheme="majorHAnsi" w:cstheme="majorBidi" w:ascii="Malgun Gothic" w:hAnsi="Malgun Gothic" w:eastAsia="Malgun Gothic" w:cs="Malgun Gothic"/>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80" w:after="80" w:line="252" w:lineRule="auto"/>
      <w:outlineLvl w:val="2"/>
    </w:pPr>
    <w:rPr>
      <w:rFonts w:asciiTheme="majorHAnsi" w:eastAsiaTheme="majorEastAsia" w:hAnsiTheme="majorHAnsi" w:cstheme="majorBidi" w:ascii="Malgun Gothic" w:hAnsi="Malgun Gothic" w:eastAsia="Malgun Gothic" w:cs="Malgun Gothic"/>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