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Noto Sans KR" w:cs="Noto Sans KR" w:eastAsia="Noto Sans KR" w:hAnsi="Noto Sans KR"/>
          <w:b/>
          <w:bCs/>
          <w:sz w:val="30"/>
          <w:szCs w:val="30"/>
        </w:rPr>
        <w:t xml:space="preserve">Predicting Student Health Risk — 오늘의 실험 요약</w:t>
      </w:r>
    </w:p>
    <w:p>
      <w:pPr>
        <w:spacing w:after="180"/>
        <w:jc w:val="center"/>
      </w:pPr>
      <w:r>
        <w:rPr>
          <w:rFonts w:ascii="Noto Sans KR" w:cs="Noto Sans KR" w:eastAsia="Noto Sans KR" w:hAnsi="Noto Sans KR"/>
          <w:color w:val="666666"/>
          <w:sz w:val="18"/>
          <w:szCs w:val="18"/>
        </w:rPr>
        <w:t xml:space="preserve">Kaggle Playground Series S6E7  |  작성자: 동겸  |  2026. 9. 17.</w:t>
      </w:r>
    </w:p>
    <w:p>
      <w:pPr>
        <w:pStyle w:val="Heading2"/>
        <w:spacing w:after="90" w:before="220"/>
      </w:pPr>
      <w:r>
        <w:rPr>
          <w:rFonts w:ascii="Noto Sans KR" w:cs="Noto Sans KR" w:eastAsia="Noto Sans KR" w:hAnsi="Noto Sans KR"/>
          <w:b/>
          <w:bCs/>
        </w:rPr>
        <w:t xml:space="preserve">1. 오늘 실험한 것</w:t>
      </w:r>
    </w:p>
    <w:p>
      <w:pPr>
        <w:spacing w:after="110" w:line="268"/>
      </w:pPr>
      <w:r>
        <w:rPr>
          <w:rFonts w:ascii="Noto Sans KR" w:cs="Noto Sans KR" w:eastAsia="Noto Sans KR" w:hAnsi="Noto Sans KR"/>
          <w:sz w:val="20"/>
          <w:szCs w:val="20"/>
        </w:rPr>
        <w:t xml:space="preserve">기존에 확정한 baseline(XGBoost + FEATURES_V2 15개 피처 + 튜닝된 하이퍼파라미터, OOF Balanced Accuracy 0.949885)을 넘어서기 위해, 오늘은 모델 구조와 피처 표현을 바꾸는 다섯 가지 실험을 진행했다: 다른 팀들의 성능 향상 사례가 있었던 FT-Transformer 도입, 클래스별(one-vs-rest) 타겟 인코딩을 범주형 → 전체 피처로 확장, XGBoost·CatBoost·RandomForest를 결합하는 스태킹 앙상블, 그리고 가장 중요한 피처인 stress의 신호를 극대화하기 위한 단조성 제약 검토와 stress 기반 전문가 모델이다.</w:t>
      </w:r>
    </w:p>
    <w:p>
      <w:pPr>
        <w:pStyle w:val="Heading2"/>
        <w:spacing w:after="90" w:before="220"/>
      </w:pPr>
      <w:r>
        <w:rPr>
          <w:rFonts w:ascii="Noto Sans KR" w:cs="Noto Sans KR" w:eastAsia="Noto Sans KR" w:hAnsi="Noto Sans KR"/>
          <w:b/>
          <w:bCs/>
        </w:rPr>
        <w:t xml:space="preserve">2. 실험 이력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0"/>
        <w:gridCol w:w="1750"/>
        <w:gridCol w:w="1450"/>
        <w:gridCol w:w="1250"/>
      </w:tblGrid>
      <w:tr>
        <w:trPr>
          <w:tblHeader/>
        </w:trPr>
        <w:tc>
          <w:tcPr>
            <w:tcW w:type="dxa" w:w="155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절</w:t>
            </w:r>
          </w:p>
        </w:tc>
        <w:tc>
          <w:tcPr>
            <w:tcW w:type="dxa" w:w="390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시도 내용</w:t>
            </w:r>
          </w:p>
        </w:tc>
        <w:tc>
          <w:tcPr>
            <w:tcW w:type="dxa" w:w="175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OOF Balanced Acc.</w:t>
            </w:r>
          </w:p>
        </w:tc>
        <w:tc>
          <w:tcPr>
            <w:tcW w:type="dxa" w:w="145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vs baseline</w:t>
            </w:r>
          </w:p>
        </w:tc>
        <w:tc>
          <w:tcPr>
            <w:tcW w:type="dxa" w:w="1250"/>
            <w:shd w:fill="D9E2F3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sz w:val="18"/>
                <w:szCs w:val="18"/>
              </w:rPr>
              <w:t xml:space="preserve">채택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12. FT-Transformer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다른 팀들의 성능 향상 사례를 참고해 PyTorch로 FT-Transformer를 직접 구현·학습(CPU 전용, fold-0만 검증)</w:t>
            </w:r>
          </w:p>
        </w:tc>
        <w:tc>
          <w:tcPr>
            <w:tcW w:type="dxa" w:w="17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0.9492</w:t>
            </w:r>
          </w:p>
        </w:tc>
        <w:tc>
          <w:tcPr>
            <w:tcW w:type="dxa" w:w="1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vs XGBoost fold-0 0.9503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미채택</w:t>
            </w:r>
          </w:p>
        </w:tc>
      </w:tr>
      <w:tr>
        <w:tc>
          <w:tcPr>
            <w:tcW w:type="dxa" w:w="15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13. 클래스별 타겟인코딩
(범주형)</w:t>
            </w:r>
          </w:p>
        </w:tc>
        <w:tc>
          <w:tcPr>
            <w:tcW w:type="dxa" w:w="3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기존 피처를 클래스 수만큼 늘리자는 아이디어를 4개 범주형 피처의 one-vs-rest 타겟 인코딩(12개 피처)으로 구체화</w:t>
            </w:r>
          </w:p>
        </w:tc>
        <w:tc>
          <w:tcPr>
            <w:tcW w:type="dxa" w:w="17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0.949767</w:t>
            </w:r>
          </w:p>
        </w:tc>
        <w:tc>
          <w:tcPr>
            <w:tcW w:type="dxa" w:w="1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-0.000118</w:t>
            </w:r>
          </w:p>
        </w:tc>
        <w:tc>
          <w:tcPr>
            <w:tcW w:type="dxa" w:w="12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미채택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14. 클래스별 타겟인코딩
(전체 확장)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동일 기법을 11개 수치형 피처까지 확장(분위수 구간화 + 인코딩, 총 60개 피처)</w:t>
            </w:r>
          </w:p>
        </w:tc>
        <w:tc>
          <w:tcPr>
            <w:tcW w:type="dxa" w:w="17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0.946994</w:t>
            </w:r>
          </w:p>
        </w:tc>
        <w:tc>
          <w:tcPr>
            <w:tcW w:type="dxa" w:w="1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-0.002891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미채택</w:t>
            </w:r>
          </w:p>
        </w:tc>
      </w:tr>
      <w:tr>
        <w:tc>
          <w:tcPr>
            <w:tcW w:type="dxa" w:w="15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15. 스태킹 앙상블</w:t>
            </w:r>
          </w:p>
        </w:tc>
        <w:tc>
          <w:tcPr>
            <w:tcW w:type="dxa" w:w="390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XGBoost·CatBoost·RandomForest OOF 확률을 메타 피처로 LR/XGBoost 메타모델 학습(중첩 CV)</w:t>
            </w:r>
          </w:p>
        </w:tc>
        <w:tc>
          <w:tcPr>
            <w:tcW w:type="dxa" w:w="17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0.94976~0.94979</w:t>
            </w:r>
          </w:p>
        </w:tc>
        <w:tc>
          <w:tcPr>
            <w:tcW w:type="dxa" w:w="14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-0.00009~-0.00013</w:t>
            </w:r>
          </w:p>
        </w:tc>
        <w:tc>
          <w:tcPr>
            <w:tcW w:type="dxa" w:w="1250"/>
            <w:shd w:fill="F2F2F2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미채택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/>
                <w:bCs/>
                <w:sz w:val="17"/>
                <w:szCs w:val="17"/>
              </w:rPr>
              <w:t xml:space="preserve">16. stress 신호 극대화</w:t>
            </w:r>
          </w:p>
        </w:tc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단조성 제약 검토 중 비단조 관계 발견 → stress_level별 전문가(specialist) 모델로 전환·검증</w:t>
            </w:r>
          </w:p>
        </w:tc>
        <w:tc>
          <w:tcPr>
            <w:tcW w:type="dxa" w:w="17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0.918615</w:t>
            </w:r>
          </w:p>
        </w:tc>
        <w:tc>
          <w:tcPr>
            <w:tcW w:type="dxa" w:w="14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7"/>
                <w:szCs w:val="17"/>
              </w:rPr>
              <w:t xml:space="preserve">-0.031270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b w:val="false"/>
                <w:bCs w:val="false"/>
                <w:sz w:val="18"/>
                <w:szCs w:val="18"/>
              </w:rPr>
              <w:t xml:space="preserve">미채택</w:t>
            </w:r>
          </w:p>
        </w:tc>
      </w:tr>
    </w:tbl>
    <w:p>
      <w:pPr>
        <w:spacing w:after="150" w:before="90"/>
      </w:pPr>
      <w:r>
        <w:rPr>
          <w:rFonts w:ascii="Noto Sans KR" w:cs="Noto Sans KR" w:eastAsia="Noto Sans KR" w:hAnsi="Noto Sans KR"/>
          <w:i/>
          <w:iCs/>
          <w:color w:val="666666"/>
          <w:sz w:val="16"/>
          <w:szCs w:val="16"/>
        </w:rPr>
        <w:t xml:space="preserve">* OOF: Out-of-Fold 예측 기준 5-fold 평균 Balanced Accuracy. 모든 실험은 기존과 동일한 StratifiedKFold(5, random_state=42) 분할을 재사용해 공정하게 비교했다.</w:t>
      </w:r>
    </w:p>
    <w:p>
      <w:pPr>
        <w:pStyle w:val="Heading2"/>
        <w:spacing w:after="90" w:before="220"/>
      </w:pPr>
      <w:r>
        <w:rPr>
          <w:rFonts w:ascii="Noto Sans KR" w:cs="Noto Sans KR" w:eastAsia="Noto Sans KR" w:hAnsi="Noto Sans KR"/>
          <w:b/>
          <w:bCs/>
        </w:rPr>
        <w:t xml:space="preserve">3. 결론 및 최종 모델</w:t>
      </w:r>
    </w:p>
    <w:p>
      <w:pPr>
        <w:pStyle w:val="ListParagraph"/>
        <w:numPr>
          <w:ilvl w:val="0"/>
          <w:numId w:val="1"/>
        </w:numPr>
        <w:spacing w:after="55" w:line="254"/>
      </w:pPr>
      <w:r>
        <w:rPr>
          <w:rFonts w:ascii="Noto Sans KR" w:cs="Noto Sans KR" w:eastAsia="Noto Sans KR" w:hAnsi="Noto Sans KR"/>
          <w:sz w:val="20"/>
          <w:szCs w:val="20"/>
        </w:rPr>
        <w:t xml:space="preserve">다섯 가지 시도 모두 baseline(0.949885)을 넘지 못했고, 최종 제출 모델은 변경 없이 XGBoost 단독 + FEATURES_V2 + 튜닝된 하이퍼파라미터(OOF 0.9499)를 유지한다.</w:t>
      </w:r>
    </w:p>
    <w:p>
      <w:pPr>
        <w:pStyle w:val="ListParagraph"/>
        <w:numPr>
          <w:ilvl w:val="0"/>
          <w:numId w:val="1"/>
        </w:numPr>
        <w:spacing w:after="55" w:line="254"/>
      </w:pPr>
      <w:r>
        <w:rPr>
          <w:rFonts w:ascii="Noto Sans KR" w:cs="Noto Sans KR" w:eastAsia="Noto Sans KR" w:hAnsi="Noto Sans KR"/>
          <w:sz w:val="20"/>
          <w:szCs w:val="20"/>
        </w:rPr>
        <w:t xml:space="preserve">14절(전체 피처 타겟 인코딩, -0.002891)과 16절(stress 전문가 모델, -0.031270)은 특히 큰 폭의 하락을 보였는데, 공통 원인은 이미 XGBoost가 자유롭게 활용 중인 정보(원본 수치형 피처, stress_level 자체)를 인위적으로 재가공하거나 구조적으로 분리하면서 정보 손실·노이즈·데이터 분할 손해가 이득보다 컸기 때문이다.</w:t>
      </w:r>
    </w:p>
    <w:p>
      <w:pPr>
        <w:pStyle w:val="ListParagraph"/>
        <w:numPr>
          <w:ilvl w:val="0"/>
          <w:numId w:val="1"/>
        </w:numPr>
        <w:spacing w:after="55" w:line="254"/>
      </w:pPr>
      <w:r>
        <w:rPr>
          <w:rFonts w:ascii="Noto Sans KR" w:cs="Noto Sans KR" w:eastAsia="Noto Sans KR" w:hAnsi="Noto Sans KR"/>
          <w:sz w:val="20"/>
          <w:szCs w:val="20"/>
        </w:rPr>
        <w:t xml:space="preserve">16절 사전 점검에서 stress_level과 건강 상태의 관계가 단조적이 아니라(at-risk 비율이 medium에서 정점) 구간별로 성격이 다른 하위집단을 규정한다는 점을 확인한 것은, 비록 모델링 실험 자체는 실패했지만 데이터 이해 측면에서 의미 있는 발견이었다.</w:t>
      </w:r>
    </w:p>
    <w:p>
      <w:pPr>
        <w:pStyle w:val="ListParagraph"/>
        <w:numPr>
          <w:ilvl w:val="0"/>
          <w:numId w:val="1"/>
        </w:numPr>
        <w:spacing w:after="55" w:line="254"/>
      </w:pPr>
      <w:r>
        <w:rPr>
          <w:rFonts w:ascii="Noto Sans KR" w:cs="Noto Sans KR" w:eastAsia="Noto Sans KR" w:hAnsi="Noto Sans KR"/>
          <w:sz w:val="20"/>
          <w:szCs w:val="20"/>
        </w:rPr>
        <w:t xml:space="preserve">스태킹(15절)은 메타 모델에 베이스 모델과 동일한 클래스 불균형 보정(class_weight/sample_weight='balanced')을 적용하지 않으면 Balanced Accuracy가 0.87~0.93대로 크게 하락한다는 실무적 함정을 확인했다 — 보정 후에는 baseline에 근접했으나 넘어서지는 못했다.</w:t>
      </w:r>
    </w:p>
    <w:p>
      <w:pPr>
        <w:pStyle w:val="ListParagraph"/>
        <w:numPr>
          <w:ilvl w:val="0"/>
          <w:numId w:val="1"/>
        </w:numPr>
        <w:spacing w:after="55" w:line="254"/>
      </w:pPr>
      <w:r>
        <w:rPr>
          <w:rFonts w:ascii="Noto Sans KR" w:cs="Noto Sans KR" w:eastAsia="Noto Sans KR" w:hAnsi="Noto Sans KR"/>
          <w:sz w:val="20"/>
          <w:szCs w:val="20"/>
        </w:rPr>
        <w:t xml:space="preserve">submission.csv는 변경 사항 없이 기존 최종 모델(하이퍼파라미터 튜닝 반영) 기준을 유지한다.</w:t>
      </w:r>
    </w:p>
    <w:p>
      <w:pPr>
        <w:pStyle w:val="Heading2"/>
        <w:spacing w:after="90" w:before="220"/>
      </w:pPr>
      <w:r>
        <w:rPr>
          <w:rFonts w:ascii="Noto Sans KR" w:cs="Noto Sans KR" w:eastAsia="Noto Sans KR" w:hAnsi="Noto Sans KR"/>
          <w:b/>
          <w:bCs/>
        </w:rPr>
        <w:t xml:space="preserve">4. 오늘의 시사점</w:t>
      </w:r>
    </w:p>
    <w:p>
      <w:pPr>
        <w:spacing w:after="110" w:line="268"/>
      </w:pPr>
      <w:r>
        <w:rPr>
          <w:rFonts w:ascii="Noto Sans KR" w:cs="Noto Sans KR" w:eastAsia="Noto Sans KR" w:hAnsi="Noto Sans KR"/>
          <w:sz w:val="20"/>
          <w:szCs w:val="20"/>
        </w:rPr>
        <w:t xml:space="preserve">모델 다양화(FT-Transformer, CatBoost·RandomForest와의 스태킹), 피처 재인코딩(타겟 인코딩), 구조적 분리(stress 전문가 모델) 등 서로 다른 세 방향의 시도가 모두 동일한 결론에 도달했다: 이 데이터셋(저-카디널리티 범주형, 뚜렷한 소수의 강한 피처)에서는 단일 XGBoost가 이미 거의 최적으로 정보를 추출하고 있어, 구조를 바꾸는 접근보다 기존 모델 안에서의 정규화·하이퍼파라미터 미세조정이 더 안정적으로 성능을 개선한다는 패턴이 다섯 번째로 재확인되었다.</w:t>
      </w:r>
    </w:p>
    <w:sectPr>
      <w:pgSz w:w="12240" w:h="15840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2026-09-17T10:19:32.958Z</dcterms:created>
  <dcterms:modified xsi:type="dcterms:W3CDTF">2026-09-17T10:19:32.969Z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