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Noto Serif" w:hAnsi="Noto Serif"/>
        </w:rPr>
      </w:pPr>
      <w:r>
        <w:rPr>
          <w:rFonts w:ascii="Noto Serif" w:hAnsi="Noto Serif"/>
        </w:rPr>
        <w:t>Mike Sutherland (55505225)</w:t>
      </w:r>
    </w:p>
    <w:p>
      <w:pPr>
        <w:pStyle w:val="Normal"/>
        <w:bidi w:val="0"/>
        <w:jc w:val="left"/>
        <w:rPr>
          <w:rFonts w:ascii="Noto Serif" w:hAnsi="Noto Serif"/>
        </w:rPr>
      </w:pPr>
      <w:r>
        <w:rPr>
          <w:rFonts w:ascii="Noto Serif" w:hAnsi="Noto Serif"/>
        </w:rPr>
        <w:t>Instructor: Dr. Marco Maggia</w:t>
      </w:r>
    </w:p>
    <w:p>
      <w:pPr>
        <w:pStyle w:val="Normal"/>
        <w:bidi w:val="0"/>
        <w:jc w:val="left"/>
        <w:rPr>
          <w:rFonts w:ascii="Noto Serif" w:hAnsi="Noto Serif"/>
        </w:rPr>
      </w:pPr>
      <w:r>
        <w:rPr>
          <w:rFonts w:ascii="Noto Serif" w:hAnsi="Noto Serif"/>
        </w:rPr>
        <w:t>TA: Daniela Ruiz</w:t>
      </w:r>
    </w:p>
    <w:p>
      <w:pPr>
        <w:pStyle w:val="Normal"/>
        <w:bidi w:val="0"/>
        <w:jc w:val="left"/>
        <w:rPr>
          <w:rFonts w:ascii="Noto Serif" w:hAnsi="Noto Serif"/>
        </w:rPr>
      </w:pPr>
      <w:r>
        <w:rPr>
          <w:rFonts w:ascii="Noto Serif" w:hAnsi="Noto Serif"/>
        </w:rPr>
      </w:r>
    </w:p>
    <w:p>
      <w:pPr>
        <w:pStyle w:val="Heading1"/>
        <w:bidi w:val="0"/>
        <w:jc w:val="left"/>
        <w:rPr>
          <w:rFonts w:ascii="Noto Serif" w:hAnsi="Noto Serif"/>
        </w:rPr>
      </w:pPr>
      <w:r>
        <w:rPr>
          <w:rFonts w:ascii="Noto Serif" w:hAnsi="Noto Serif"/>
        </w:rPr>
        <w:t>Lab Report 1 – Accuracy, Precision, Significant Figures</w:t>
      </w:r>
    </w:p>
    <w:p>
      <w:pPr>
        <w:pStyle w:val="Heading2"/>
        <w:bidi w:val="0"/>
        <w:jc w:val="left"/>
        <w:rPr>
          <w:rFonts w:ascii="Noto Serif" w:hAnsi="Noto Serif"/>
        </w:rPr>
      </w:pPr>
      <w:r>
        <w:rPr>
          <w:rFonts w:ascii="Noto Serif" w:hAnsi="Noto Serif"/>
        </w:rPr>
        <w:t xml:space="preserve">Summary </w:t>
      </w:r>
      <w:r>
        <w:rPr>
          <w:rFonts w:ascii="Noto Serif" w:hAnsi="Noto Serif"/>
        </w:rPr>
        <w:t>(Answer to Question 1)</w:t>
      </w:r>
    </w:p>
    <w:p>
      <w:pPr>
        <w:pStyle w:val="TextBody"/>
        <w:bidi w:val="0"/>
        <w:jc w:val="left"/>
        <w:rPr/>
      </w:pPr>
      <w:r>
        <w:rPr>
          <w:rFonts w:ascii="Noto Serif" w:hAnsi="Noto Serif"/>
        </w:rPr>
        <w:t>T</w:t>
      </w:r>
      <w:r>
        <w:rPr>
          <w:rFonts w:ascii="Noto Serif" w:hAnsi="Noto Serif"/>
        </w:rPr>
        <w:t>he experiment was the indirect measure of a water flow rate by timing the flow of a volume of water into a container. Four different combinations were tested: high flow rate and small volume, high flow rate and large volume, low flow rate and large volume, and low flow rate and small volume. Additionally, another set of experiments measuring the same quantity were performed with a different apparatus.</w:t>
      </w:r>
    </w:p>
    <w:p>
      <w:pPr>
        <w:pStyle w:val="TextBody"/>
        <w:bidi w:val="0"/>
        <w:jc w:val="left"/>
        <w:rPr>
          <w:rFonts w:ascii="Noto Serif" w:hAnsi="Noto Serif"/>
        </w:rPr>
      </w:pPr>
      <w:r>
        <w:rPr/>
      </w:r>
    </w:p>
    <w:p>
      <w:pPr>
        <w:pStyle w:val="TextBody"/>
        <w:bidi w:val="0"/>
        <w:jc w:val="left"/>
        <w:rPr/>
      </w:pPr>
      <w:r>
        <w:rPr>
          <w:rFonts w:ascii="Noto Serif" w:hAnsi="Noto Serif"/>
        </w:rPr>
        <w:t>The purpose of the lab was to shed light on the impact of experiment design on precision and accuracy of the ensuing data, and to understand the full meaning of precision and accuracy in a lab context.</w:t>
      </w:r>
    </w:p>
    <w:p>
      <w:pPr>
        <w:pStyle w:val="Heading2"/>
        <w:bidi w:val="0"/>
        <w:jc w:val="left"/>
        <w:rPr>
          <w:rFonts w:ascii="Noto Serif" w:hAnsi="Noto Serif"/>
        </w:rPr>
      </w:pPr>
      <w:r>
        <w:rPr>
          <w:rFonts w:ascii="Noto Serif" w:hAnsi="Noto Serif"/>
        </w:rPr>
        <w:t>Questions</w:t>
      </w:r>
    </w:p>
    <w:p>
      <w:pPr>
        <w:pStyle w:val="Heading3"/>
        <w:bidi w:val="0"/>
        <w:jc w:val="left"/>
        <w:rPr>
          <w:rFonts w:ascii="Noto Serif" w:hAnsi="Noto Serif"/>
        </w:rPr>
      </w:pPr>
      <w:r>
        <w:rPr>
          <w:rFonts w:ascii="Noto Serif" w:hAnsi="Noto Serif"/>
        </w:rPr>
        <w:t xml:space="preserve">Question 1: Write a summary of the experiment, results, and explain how this lab benefits analysis and </w:t>
      </w:r>
      <w:r>
        <w:rPr>
          <w:rFonts w:ascii="Noto Serif" w:hAnsi="Noto Serif"/>
        </w:rPr>
        <w:t>interpretation of experimental data in general.</w:t>
      </w:r>
    </w:p>
    <w:p>
      <w:pPr>
        <w:pStyle w:val="TextBody"/>
        <w:bidi w:val="0"/>
        <w:jc w:val="left"/>
        <w:rPr>
          <w:rFonts w:ascii="Noto Serif" w:hAnsi="Noto Serif"/>
        </w:rPr>
      </w:pPr>
      <w:r>
        <w:rPr>
          <w:rFonts w:ascii="Noto Serif" w:hAnsi="Noto Serif"/>
        </w:rPr>
        <w:t>(</w:t>
      </w:r>
      <w:r>
        <w:rPr>
          <w:rFonts w:ascii="Noto Serif" w:hAnsi="Noto Serif"/>
        </w:rPr>
        <w:t>Answered in Summary Section)</w:t>
      </w:r>
    </w:p>
    <w:p>
      <w:pPr>
        <w:pStyle w:val="Heading3"/>
        <w:bidi w:val="0"/>
        <w:jc w:val="left"/>
        <w:rPr/>
      </w:pPr>
      <w:r>
        <w:rPr/>
        <w:t xml:space="preserve">Question 2: </w:t>
      </w:r>
      <w:r>
        <w:rPr/>
        <w:t>Plot the frequency distributions of Q. Are there any outliers? If so, re-plot the frequency distributions without outliers. Why are the distributions different?</w:t>
      </w:r>
    </w:p>
    <w:p>
      <w:pPr>
        <w:pStyle w:val="TextBody"/>
        <w:bidi w:val="0"/>
        <w:jc w:val="left"/>
        <w:rPr/>
      </w:pPr>
      <w:r>
        <w:rPr/>
        <w:t xml:space="preserve">We can see the graphs in the Graphs section of the report. We notice that the distributions are different. For the fast pour, there are no outliers, so the two charts (at left on both ensembles) are the same, because no outliers are discarded from the distribution. However, on the right, we see that there are outliers, specifically on the large, slow pour. The distribution for that pour is “tighter” (i.e. the histogram is narrower), because the </w:t>
      </w:r>
      <w:r>
        <w:rPr/>
        <w:t xml:space="preserve">presence of the </w:t>
      </w:r>
      <w:r>
        <w:rPr/>
        <w:t xml:space="preserve">outliers </w:t>
      </w:r>
      <w:r>
        <w:rPr/>
        <w:t xml:space="preserve">increases the variance for the sample. This makes sense; an outlier, </w:t>
      </w:r>
      <w:r>
        <w:rPr/>
        <w:t>by its nature, varies significantly from the mean. Therefore, trimming outliers by definition decreases the variance of the sample.</w:t>
      </w:r>
    </w:p>
    <w:p>
      <w:pPr>
        <w:pStyle w:val="Heading3"/>
        <w:bidi w:val="0"/>
        <w:jc w:val="left"/>
        <w:rPr/>
      </w:pPr>
      <w:r>
        <w:rPr/>
        <w:t>Question 3: Use the average values of t and V (without outliers) to determine the predicted RMSE of Q.</w:t>
      </w:r>
    </w:p>
    <w:p>
      <w:pPr>
        <w:pStyle w:val="TextBody"/>
        <w:bidi w:val="0"/>
        <w:jc w:val="left"/>
        <w:rPr/>
      </w:pPr>
      <w:r>
        <w:rPr/>
        <w:t>See Table 1, Row 1. For implementation details, see lines 8, 9 of the code provided.</w:t>
      </w:r>
    </w:p>
    <w:p>
      <w:pPr>
        <w:pStyle w:val="Heading3"/>
        <w:bidi w:val="0"/>
        <w:jc w:val="left"/>
        <w:rPr/>
      </w:pPr>
      <w:r>
        <w:rPr/>
        <w:t xml:space="preserve">Question 4: </w:t>
      </w:r>
      <w:r>
        <w:rPr/>
        <w:t>Compare the predicted RMSE of Q from question 3 to the correct unbiased standard deviation calculated from the data, and comment.</w:t>
      </w:r>
    </w:p>
    <w:p>
      <w:pPr>
        <w:pStyle w:val="TextBody"/>
        <w:bidi w:val="0"/>
        <w:jc w:val="left"/>
        <w:rPr/>
      </w:pPr>
      <w:r>
        <w:rPr/>
        <w:t xml:space="preserve">The predicted standard deviation (Table 1, </w:t>
      </w:r>
      <w:r>
        <w:rPr/>
        <w:t>col 8</w:t>
      </w:r>
      <w:r>
        <w:rPr/>
        <w:t xml:space="preserve">) is generally </w:t>
      </w:r>
      <w:r>
        <w:rPr/>
        <w:t>higher</w:t>
      </w:r>
      <w:r>
        <w:rPr/>
        <w:t xml:space="preserve"> than the actual standard deviation of the sample (Table 1, </w:t>
      </w:r>
      <w:r>
        <w:rPr/>
        <w:t>col</w:t>
      </w:r>
      <w:r>
        <w:rPr/>
        <w:t xml:space="preserve"> </w:t>
      </w:r>
      <w:r>
        <w:rPr/>
        <w:t>7</w:t>
      </w:r>
      <w:r>
        <w:rPr/>
        <w:t xml:space="preserve">). </w:t>
      </w:r>
      <w:r>
        <w:rPr/>
        <w:t>This is because the RSME assumes the “worst case” variability between the samples; in the calculation, dV and dt are always present. However, the real distribution can contain many samples whose measured value is very close to the real mean. This extra variance predicted by RSME causes its variance to be higher.</w:t>
      </w:r>
      <w:r>
        <w:rPr/>
        <w:t xml:space="preserve">  </w:t>
      </w:r>
    </w:p>
    <w:p>
      <w:pPr>
        <w:pStyle w:val="Heading3"/>
        <w:bidi w:val="0"/>
        <w:jc w:val="left"/>
        <w:rPr/>
      </w:pPr>
      <w:r>
        <w:rPr/>
        <w:t xml:space="preserve">Question 5: </w:t>
      </w:r>
      <w:r>
        <w:rPr/>
        <w:t xml:space="preserve">Using the data </w:t>
      </w:r>
      <w:r>
        <w:rPr/>
        <w:t>Vi and ti=1,2,3,4...N a</w:t>
      </w:r>
      <w:r>
        <w:rPr/>
        <w:t xml:space="preserve">nd from the first flow rate measurement (fast flow rate, large cylinder), calculate the standard deviations </w:t>
      </w:r>
      <w:r>
        <w:rPr/>
        <w:t xml:space="preserve">sv </w:t>
      </w:r>
      <w:r>
        <w:rPr/>
        <w:t xml:space="preserve">and </w:t>
      </w:r>
      <w:r>
        <w:rPr/>
        <w:t>st</w:t>
      </w:r>
      <w:r>
        <w:rPr/>
        <w:t>, and compare them with δV and δt, respectively. (δV and δt are provided in the data sheet). Comment on the difference observed.</w:t>
      </w:r>
    </w:p>
    <w:p>
      <w:pPr>
        <w:pStyle w:val="TextBody"/>
        <w:bidi w:val="0"/>
        <w:jc w:val="left"/>
        <w:rPr/>
      </w:pPr>
      <w:r>
        <w:rPr/>
        <w:t>s</w:t>
      </w:r>
      <w:r>
        <w:rPr/>
        <w:t>t</w:t>
      </w:r>
      <w:r>
        <w:rPr/>
        <w:t xml:space="preserve"> and s</w:t>
      </w:r>
      <w:r>
        <w:rPr/>
        <w:t>v</w:t>
      </w:r>
      <w:r>
        <w:rPr/>
        <w:t xml:space="preserve"> are given in </w:t>
      </w:r>
      <w:r>
        <w:rPr/>
        <w:t>cols</w:t>
      </w:r>
      <w:r>
        <w:rPr/>
        <w:t xml:space="preserve"> </w:t>
      </w:r>
      <w:r>
        <w:rPr/>
        <w:t>3</w:t>
      </w:r>
      <w:r>
        <w:rPr/>
        <w:t xml:space="preserve"> and </w:t>
      </w:r>
      <w:r>
        <w:rPr/>
        <w:t>5</w:t>
      </w:r>
      <w:r>
        <w:rPr/>
        <w:t xml:space="preserve"> of Table 1. We can see that the time variance is approximately </w:t>
      </w:r>
      <w:r>
        <w:rPr/>
        <w:t>the same</w:t>
      </w:r>
      <w:r>
        <w:rPr/>
        <w:t xml:space="preserve"> fo</w:t>
      </w:r>
      <w:r>
        <w:rPr/>
        <w:t xml:space="preserve">r each run. Except for the slow, large run, which had several significant outliers, in time and in volume. Therefore, while the calculated flow sample variance is low (because the outliers in volume and time disappear when those two quantities are divided), the variance for the individual quantities of time and volume variance is high, because of the presence of those outliers. </w:t>
      </w:r>
    </w:p>
    <w:p>
      <w:pPr>
        <w:pStyle w:val="TextBody"/>
        <w:bidi w:val="0"/>
        <w:jc w:val="left"/>
        <w:rPr/>
      </w:pPr>
      <w:r>
        <w:rPr/>
        <w:t>In general, we can also see that the volumetric sample variance scales with the size, with the larger volume having a large absolute variance in volume – suggesting that the sample variance scales with the container size. We somewhat expect this; for the larger container, we cannot see the exact volume, so we pull the container out of the water stream with more variance than in the smaller container. However, we expect the percentage variance to be roughly equal between the two sized containers.</w:t>
      </w:r>
    </w:p>
    <w:p>
      <w:pPr>
        <w:pStyle w:val="TextBody"/>
        <w:bidi w:val="0"/>
        <w:jc w:val="left"/>
        <w:rPr/>
      </w:pPr>
      <w:r>
        <w:rPr/>
        <w:t>On flow rate, however, we see the opposite pattern. The slower flow rate has a lower variance. This makes sense; with more time passing, the variance caused by human error of pulling the cylinder out of the flow earlier or later (which causes a variance in the time) is smaller compared to the absolute time that the cylinder is in the flow, while the variance in container measurement remains the same. Therefore, the calculated flow variance is smaller for the lower flow rate.</w:t>
      </w:r>
    </w:p>
    <w:p>
      <w:pPr>
        <w:pStyle w:val="Heading2"/>
        <w:bidi w:val="0"/>
        <w:jc w:val="left"/>
        <w:rPr/>
      </w:pPr>
      <w:r>
        <w:rPr/>
        <w:t>At Home Experiment (Question 6)</w:t>
      </w:r>
    </w:p>
    <w:p>
      <w:pPr>
        <w:pStyle w:val="TextBody"/>
        <w:bidi w:val="0"/>
        <w:jc w:val="left"/>
        <w:rPr/>
      </w:pPr>
      <w:r>
        <w:rPr/>
        <w:t>Rather than measuring volume directly, I used the mass of the water to infer the volume (assuming that 1mL = 1g.). My scale can read up to 1g in precision; unfortunately the weight precision is not measured. The timekeeping device was a CASIO W-800H, which could measure to millisecond precision. I estimate that I could keep time within approximately 0.2s of precision.</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t>Fig 5: Home Experiment Setup</w:t>
      </w:r>
      <w:r>
        <w:br w:type="page"/>
      </w:r>
    </w:p>
    <w:p>
      <w:pPr>
        <w:pStyle w:val="TextBody"/>
        <w:bidi w:val="0"/>
        <w:jc w:val="left"/>
        <w:rPr/>
      </w:pPr>
      <w:r>
        <w:rPr/>
      </w:r>
    </w:p>
    <w:p>
      <w:pPr>
        <w:pStyle w:val="Heading2"/>
        <w:bidi w:val="0"/>
        <w:jc w:val="left"/>
        <w:rPr/>
      </w:pPr>
      <w:r>
        <w:rPr>
          <w:rFonts w:ascii="Noto Serif" w:hAnsi="Noto Serif"/>
        </w:rPr>
        <w:t>Tables</w:t>
      </w:r>
    </w:p>
    <w:p>
      <w:pPr>
        <w:pStyle w:val="TextBody"/>
        <w:bidi w:val="0"/>
        <w:jc w:val="left"/>
        <w:rPr>
          <w:rFonts w:ascii="Noto Serif" w:hAnsi="Noto Serif"/>
        </w:rPr>
      </w:pPr>
      <w:r>
        <w:rPr/>
      </w:r>
    </w:p>
    <w:tbl>
      <w:tblPr>
        <w:tblW w:w="9995" w:type="dxa"/>
        <w:jc w:val="left"/>
        <w:tblInd w:w="-60" w:type="dxa"/>
        <w:tblCellMar>
          <w:top w:w="0" w:type="dxa"/>
          <w:left w:w="0" w:type="dxa"/>
          <w:bottom w:w="0" w:type="dxa"/>
          <w:right w:w="0" w:type="dxa"/>
        </w:tblCellMar>
      </w:tblPr>
      <w:tblGrid>
        <w:gridCol w:w="1255"/>
        <w:gridCol w:w="995"/>
        <w:gridCol w:w="1077"/>
        <w:gridCol w:w="1268"/>
        <w:gridCol w:w="1350"/>
        <w:gridCol w:w="1160"/>
        <w:gridCol w:w="1268"/>
        <w:gridCol w:w="1622"/>
      </w:tblGrid>
      <w:tr>
        <w:trPr>
          <w:trHeight w:val="256" w:hRule="atLeast"/>
        </w:trPr>
        <w:tc>
          <w:tcPr>
            <w:tcW w:w="1255" w:type="dxa"/>
            <w:tcBorders>
              <w:top w:val="single" w:sz="6" w:space="0" w:color="000000"/>
              <w:bottom w:val="single" w:sz="6" w:space="0" w:color="000000"/>
            </w:tcBorders>
            <w:vAlign w:val="bottom"/>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95" w:type="dxa"/>
            <w:tcBorders>
              <w:top w:val="single" w:sz="6" w:space="0" w:color="000000"/>
              <w:bottom w:val="single" w:sz="6" w:space="0" w:color="000000"/>
            </w:tcBorders>
            <w:vAlign w:val="bottom"/>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Time mean</w:t>
            </w:r>
          </w:p>
        </w:tc>
        <w:tc>
          <w:tcPr>
            <w:tcW w:w="1077" w:type="dxa"/>
            <w:tcBorders>
              <w:top w:val="single" w:sz="6" w:space="0" w:color="000000"/>
              <w:bottom w:val="single" w:sz="6" w:space="0" w:color="000000"/>
            </w:tcBorders>
            <w:vAlign w:val="bottom"/>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Time variance</w:t>
            </w:r>
          </w:p>
        </w:tc>
        <w:tc>
          <w:tcPr>
            <w:tcW w:w="1268" w:type="dxa"/>
            <w:tcBorders>
              <w:top w:val="single" w:sz="6" w:space="0" w:color="000000"/>
              <w:bottom w:val="single" w:sz="6" w:space="0" w:color="000000"/>
            </w:tcBorders>
            <w:vAlign w:val="bottom"/>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Volume mean</w:t>
            </w:r>
          </w:p>
        </w:tc>
        <w:tc>
          <w:tcPr>
            <w:tcW w:w="1350" w:type="dxa"/>
            <w:tcBorders>
              <w:top w:val="single" w:sz="6" w:space="0" w:color="000000"/>
              <w:bottom w:val="single" w:sz="6" w:space="0" w:color="000000"/>
            </w:tcBorders>
            <w:vAlign w:val="bottom"/>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Volume variance</w:t>
            </w:r>
          </w:p>
        </w:tc>
        <w:tc>
          <w:tcPr>
            <w:tcW w:w="1160" w:type="dxa"/>
            <w:tcBorders>
              <w:top w:val="single" w:sz="6" w:space="0" w:color="000000"/>
              <w:bottom w:val="single" w:sz="6" w:space="0" w:color="000000"/>
            </w:tcBorders>
            <w:vAlign w:val="bottom"/>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Flow Rate mean</w:t>
            </w:r>
          </w:p>
        </w:tc>
        <w:tc>
          <w:tcPr>
            <w:tcW w:w="1268" w:type="dxa"/>
            <w:tcBorders>
              <w:top w:val="single" w:sz="6" w:space="0" w:color="000000"/>
              <w:bottom w:val="single" w:sz="6" w:space="0" w:color="000000"/>
            </w:tcBorders>
            <w:vAlign w:val="bottom"/>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Flow Rate variance</w:t>
            </w:r>
          </w:p>
        </w:tc>
        <w:tc>
          <w:tcPr>
            <w:tcW w:w="1622" w:type="dxa"/>
            <w:tcBorders>
              <w:top w:val="single" w:sz="6" w:space="0" w:color="000000"/>
              <w:bottom w:val="single" w:sz="6" w:space="0" w:color="000000"/>
            </w:tcBorders>
            <w:vAlign w:val="bottom"/>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Flow Rate predicted RSME</w:t>
            </w:r>
          </w:p>
        </w:tc>
      </w:tr>
      <w:tr>
        <w:trPr>
          <w:trHeight w:val="256" w:hRule="atLeast"/>
        </w:trPr>
        <w:tc>
          <w:tcPr>
            <w:tcW w:w="1255" w:type="dxa"/>
            <w:tcBorders/>
            <w:vAlign w:val="bottom"/>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 Lab, vol=large, rate=fast</w:t>
            </w:r>
          </w:p>
        </w:tc>
        <w:tc>
          <w:tcPr>
            <w:tcW w:w="995"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5.05</w:t>
            </w:r>
          </w:p>
        </w:tc>
        <w:tc>
          <w:tcPr>
            <w:tcW w:w="1077"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0.27</w:t>
            </w:r>
          </w:p>
        </w:tc>
        <w:tc>
          <w:tcPr>
            <w:tcW w:w="1268"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684</w:t>
            </w:r>
          </w:p>
        </w:tc>
        <w:tc>
          <w:tcPr>
            <w:tcW w:w="1350"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38.7</w:t>
            </w:r>
          </w:p>
        </w:tc>
        <w:tc>
          <w:tcPr>
            <w:tcW w:w="1160"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135</w:t>
            </w:r>
          </w:p>
        </w:tc>
        <w:tc>
          <w:tcPr>
            <w:tcW w:w="1268"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2.38</w:t>
            </w:r>
          </w:p>
        </w:tc>
        <w:tc>
          <w:tcPr>
            <w:tcW w:w="1622"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13.4</w:t>
            </w:r>
          </w:p>
        </w:tc>
      </w:tr>
      <w:tr>
        <w:trPr>
          <w:trHeight w:val="256" w:hRule="atLeast"/>
        </w:trPr>
        <w:tc>
          <w:tcPr>
            <w:tcW w:w="1255" w:type="dxa"/>
            <w:tcBorders/>
            <w:vAlign w:val="bottom"/>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 Lab, vol=large, rate=slow</w:t>
            </w:r>
          </w:p>
        </w:tc>
        <w:tc>
          <w:tcPr>
            <w:tcW w:w="995"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10.6</w:t>
            </w:r>
          </w:p>
        </w:tc>
        <w:tc>
          <w:tcPr>
            <w:tcW w:w="1077"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0.73</w:t>
            </w:r>
          </w:p>
        </w:tc>
        <w:tc>
          <w:tcPr>
            <w:tcW w:w="1268"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642</w:t>
            </w:r>
          </w:p>
        </w:tc>
        <w:tc>
          <w:tcPr>
            <w:tcW w:w="1350"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45.8</w:t>
            </w:r>
          </w:p>
        </w:tc>
        <w:tc>
          <w:tcPr>
            <w:tcW w:w="1160"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60.2</w:t>
            </w:r>
          </w:p>
        </w:tc>
        <w:tc>
          <w:tcPr>
            <w:tcW w:w="1268"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0.78</w:t>
            </w:r>
          </w:p>
        </w:tc>
        <w:tc>
          <w:tcPr>
            <w:tcW w:w="1622"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2.88</w:t>
            </w:r>
          </w:p>
        </w:tc>
      </w:tr>
      <w:tr>
        <w:trPr>
          <w:trHeight w:val="256" w:hRule="atLeast"/>
        </w:trPr>
        <w:tc>
          <w:tcPr>
            <w:tcW w:w="1255" w:type="dxa"/>
            <w:tcBorders/>
            <w:vAlign w:val="bottom"/>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 Lab, vol=small, rate=fast</w:t>
            </w:r>
          </w:p>
        </w:tc>
        <w:tc>
          <w:tcPr>
            <w:tcW w:w="995"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0.55</w:t>
            </w:r>
          </w:p>
        </w:tc>
        <w:tc>
          <w:tcPr>
            <w:tcW w:w="1077"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0.11</w:t>
            </w:r>
          </w:p>
        </w:tc>
        <w:tc>
          <w:tcPr>
            <w:tcW w:w="1268"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39.6</w:t>
            </w:r>
          </w:p>
        </w:tc>
        <w:tc>
          <w:tcPr>
            <w:tcW w:w="1350"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5.66</w:t>
            </w:r>
          </w:p>
        </w:tc>
        <w:tc>
          <w:tcPr>
            <w:tcW w:w="1160"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75</w:t>
            </w:r>
          </w:p>
        </w:tc>
        <w:tc>
          <w:tcPr>
            <w:tcW w:w="1268"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17.5</w:t>
            </w:r>
          </w:p>
        </w:tc>
        <w:tc>
          <w:tcPr>
            <w:tcW w:w="1622"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65.9</w:t>
            </w:r>
          </w:p>
        </w:tc>
      </w:tr>
      <w:tr>
        <w:trPr>
          <w:trHeight w:val="256" w:hRule="atLeast"/>
        </w:trPr>
        <w:tc>
          <w:tcPr>
            <w:tcW w:w="1255" w:type="dxa"/>
            <w:tcBorders/>
            <w:vAlign w:val="bottom"/>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 Lab, vol=small, rate=slow</w:t>
            </w:r>
          </w:p>
        </w:tc>
        <w:tc>
          <w:tcPr>
            <w:tcW w:w="995"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0.59</w:t>
            </w:r>
          </w:p>
        </w:tc>
        <w:tc>
          <w:tcPr>
            <w:tcW w:w="1077"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0.14</w:t>
            </w:r>
          </w:p>
        </w:tc>
        <w:tc>
          <w:tcPr>
            <w:tcW w:w="1268"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35.8</w:t>
            </w:r>
          </w:p>
        </w:tc>
        <w:tc>
          <w:tcPr>
            <w:tcW w:w="1350"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8.05</w:t>
            </w:r>
          </w:p>
        </w:tc>
        <w:tc>
          <w:tcPr>
            <w:tcW w:w="1160"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62</w:t>
            </w:r>
          </w:p>
        </w:tc>
        <w:tc>
          <w:tcPr>
            <w:tcW w:w="1268"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9.38</w:t>
            </w:r>
          </w:p>
        </w:tc>
        <w:tc>
          <w:tcPr>
            <w:tcW w:w="1622"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52.3</w:t>
            </w:r>
          </w:p>
        </w:tc>
      </w:tr>
      <w:tr>
        <w:trPr>
          <w:trHeight w:val="256" w:hRule="atLeast"/>
        </w:trPr>
        <w:tc>
          <w:tcPr>
            <w:tcW w:w="1255" w:type="dxa"/>
            <w:tcBorders/>
            <w:vAlign w:val="bottom"/>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At Home, rate=fast</w:t>
            </w:r>
          </w:p>
        </w:tc>
        <w:tc>
          <w:tcPr>
            <w:tcW w:w="995"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2.91</w:t>
            </w:r>
          </w:p>
        </w:tc>
        <w:tc>
          <w:tcPr>
            <w:tcW w:w="1077"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0.24</w:t>
            </w:r>
          </w:p>
        </w:tc>
        <w:tc>
          <w:tcPr>
            <w:tcW w:w="1268"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300</w:t>
            </w:r>
          </w:p>
        </w:tc>
        <w:tc>
          <w:tcPr>
            <w:tcW w:w="1350"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24.5</w:t>
            </w:r>
          </w:p>
        </w:tc>
        <w:tc>
          <w:tcPr>
            <w:tcW w:w="1160"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103</w:t>
            </w:r>
          </w:p>
        </w:tc>
        <w:tc>
          <w:tcPr>
            <w:tcW w:w="1268"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1.93</w:t>
            </w:r>
          </w:p>
        </w:tc>
        <w:tc>
          <w:tcPr>
            <w:tcW w:w="1622" w:type="dxa"/>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17.7</w:t>
            </w:r>
          </w:p>
        </w:tc>
      </w:tr>
      <w:tr>
        <w:trPr>
          <w:trHeight w:val="256" w:hRule="atLeast"/>
        </w:trPr>
        <w:tc>
          <w:tcPr>
            <w:tcW w:w="1255" w:type="dxa"/>
            <w:tcBorders>
              <w:bottom w:val="single" w:sz="6" w:space="0" w:color="000000"/>
            </w:tcBorders>
            <w:vAlign w:val="bottom"/>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At Home, rate=slow</w:t>
            </w:r>
          </w:p>
        </w:tc>
        <w:tc>
          <w:tcPr>
            <w:tcW w:w="995" w:type="dxa"/>
            <w:tcBorders>
              <w:bottom w:val="single" w:sz="6" w:space="0" w:color="000000"/>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7.09</w:t>
            </w:r>
          </w:p>
        </w:tc>
        <w:tc>
          <w:tcPr>
            <w:tcW w:w="1077" w:type="dxa"/>
            <w:tcBorders>
              <w:bottom w:val="single" w:sz="6" w:space="0" w:color="000000"/>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0.24</w:t>
            </w:r>
          </w:p>
        </w:tc>
        <w:tc>
          <w:tcPr>
            <w:tcW w:w="1268" w:type="dxa"/>
            <w:tcBorders>
              <w:bottom w:val="single" w:sz="6" w:space="0" w:color="000000"/>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199</w:t>
            </w:r>
          </w:p>
        </w:tc>
        <w:tc>
          <w:tcPr>
            <w:tcW w:w="1350" w:type="dxa"/>
            <w:tcBorders>
              <w:bottom w:val="single" w:sz="6" w:space="0" w:color="000000"/>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5.97</w:t>
            </w:r>
          </w:p>
        </w:tc>
        <w:tc>
          <w:tcPr>
            <w:tcW w:w="1160" w:type="dxa"/>
            <w:tcBorders>
              <w:bottom w:val="single" w:sz="6" w:space="0" w:color="000000"/>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28.1</w:t>
            </w:r>
          </w:p>
        </w:tc>
        <w:tc>
          <w:tcPr>
            <w:tcW w:w="1268" w:type="dxa"/>
            <w:tcBorders>
              <w:bottom w:val="single" w:sz="6" w:space="0" w:color="000000"/>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0.43</w:t>
            </w:r>
          </w:p>
        </w:tc>
        <w:tc>
          <w:tcPr>
            <w:tcW w:w="1622" w:type="dxa"/>
            <w:tcBorders>
              <w:bottom w:val="single" w:sz="6" w:space="0" w:color="000000"/>
            </w:tcBorders>
            <w:vAlign w:val="center"/>
          </w:tcPr>
          <w:p>
            <w:pPr>
              <w:pStyle w:val="Normal"/>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1.98</w:t>
            </w:r>
          </w:p>
        </w:tc>
      </w:tr>
    </w:tbl>
    <w:p>
      <w:pPr>
        <w:pStyle w:val="Normal"/>
        <w:bidi w:val="0"/>
        <w:jc w:val="left"/>
        <w:rPr>
          <w:rFonts w:ascii="Noto Serif" w:hAnsi="Noto Serif"/>
        </w:rPr>
      </w:pPr>
      <w:r>
        <w:rPr/>
      </w:r>
    </w:p>
    <w:p>
      <w:pPr>
        <w:pStyle w:val="Normal"/>
        <w:bidi w:val="0"/>
        <w:jc w:val="left"/>
        <w:rPr/>
      </w:pPr>
      <w:r>
        <w:rPr>
          <w:rFonts w:ascii="Noto Serif" w:hAnsi="Noto Serif"/>
        </w:rPr>
        <w:t>T</w:t>
      </w:r>
      <w:r>
        <w:rPr>
          <w:rFonts w:ascii="Noto Serif" w:hAnsi="Noto Serif"/>
        </w:rPr>
        <w:t xml:space="preserve">able 1: Standard Deviations and RSME Values For the </w:t>
      </w:r>
      <w:r>
        <w:rPr>
          <w:rFonts w:ascii="Noto Serif" w:hAnsi="Noto Serif"/>
        </w:rPr>
        <w:t>6</w:t>
      </w:r>
      <w:r>
        <w:rPr>
          <w:rFonts w:ascii="Noto Serif" w:hAnsi="Noto Serif"/>
        </w:rPr>
        <w:t xml:space="preserve"> Distributions</w:t>
      </w:r>
    </w:p>
    <w:p>
      <w:pPr>
        <w:pStyle w:val="Heading2"/>
        <w:numPr>
          <w:ilvl w:val="0"/>
          <w:numId w:val="0"/>
        </w:numPr>
        <w:bidi w:val="0"/>
        <w:jc w:val="left"/>
        <w:outlineLvl w:val="1"/>
        <w:rPr>
          <w:rFonts w:ascii="Noto Serif" w:hAnsi="Noto Serif"/>
        </w:rPr>
      </w:pPr>
      <w:r>
        <w:rPr>
          <w:rFonts w:ascii="Noto Serif" w:hAnsi="Noto Serif"/>
        </w:rPr>
      </w:r>
      <w:r>
        <w:br w:type="page"/>
      </w:r>
    </w:p>
    <w:p>
      <w:pPr>
        <w:pStyle w:val="Heading2"/>
        <w:bidi w:val="0"/>
        <w:jc w:val="left"/>
        <w:rPr>
          <w:rFonts w:ascii="Noto Serif" w:hAnsi="Noto Serif"/>
        </w:rPr>
      </w:pPr>
      <w:r>
        <w:rPr>
          <w:rFonts w:ascii="Noto Serif" w:hAnsi="Noto Serif"/>
        </w:rPr>
        <w:t>Graphs</w:t>
      </w:r>
    </w:p>
    <w:p>
      <w:pPr>
        <w:pStyle w:val="TextBody"/>
        <w:bidi w:val="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88635" cy="32296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88635" cy="3229610"/>
                    </a:xfrm>
                    <a:prstGeom prst="rect">
                      <a:avLst/>
                    </a:prstGeom>
                  </pic:spPr>
                </pic:pic>
              </a:graphicData>
            </a:graphic>
          </wp:anchor>
        </w:drawing>
      </w:r>
      <w:r>
        <w:rPr>
          <w:rFonts w:ascii="Noto Serif" w:hAnsi="Noto Serif"/>
        </w:rPr>
        <w:t>F</w:t>
      </w:r>
      <w:r>
        <w:rPr>
          <w:rFonts w:ascii="Noto Serif" w:hAnsi="Noto Serif"/>
        </w:rPr>
        <w:t xml:space="preserve">ig. 1, </w:t>
      </w:r>
      <w:r>
        <w:rPr>
          <w:rFonts w:ascii="Noto Serif" w:hAnsi="Noto Serif"/>
        </w:rPr>
        <w:t xml:space="preserve">Lab </w:t>
      </w:r>
      <w:r>
        <w:rPr>
          <w:rFonts w:ascii="Noto Serif" w:hAnsi="Noto Serif"/>
        </w:rPr>
        <w:t>Data with outliers</w:t>
      </w:r>
    </w:p>
    <w:p>
      <w:pPr>
        <w:pStyle w:val="TextBody"/>
        <w:bidi w:val="0"/>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10250" cy="318325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10250" cy="3183255"/>
                    </a:xfrm>
                    <a:prstGeom prst="rect">
                      <a:avLst/>
                    </a:prstGeom>
                  </pic:spPr>
                </pic:pic>
              </a:graphicData>
            </a:graphic>
          </wp:anchor>
        </w:drawing>
      </w:r>
      <w:r>
        <w:rPr>
          <w:rFonts w:ascii="Noto Serif" w:hAnsi="Noto Serif"/>
        </w:rPr>
        <w:t>F</w:t>
      </w:r>
      <w:r>
        <w:rPr>
          <w:rFonts w:ascii="Noto Serif" w:hAnsi="Noto Serif"/>
        </w:rPr>
        <w:t xml:space="preserve">ig 2, </w:t>
      </w:r>
      <w:r>
        <w:rPr>
          <w:rFonts w:ascii="Noto Serif" w:hAnsi="Noto Serif"/>
        </w:rPr>
        <w:t xml:space="preserve">Lab </w:t>
      </w:r>
      <w:r>
        <w:rPr>
          <w:rFonts w:ascii="Noto Serif" w:hAnsi="Noto Serif"/>
        </w:rPr>
        <w:t>Data without outliers</w:t>
      </w:r>
    </w:p>
    <w:p>
      <w:pPr>
        <w:pStyle w:val="TextBody"/>
        <w:bidi w:val="0"/>
        <w:jc w:val="left"/>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844540" cy="320040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44540" cy="3200400"/>
                    </a:xfrm>
                    <a:prstGeom prst="rect">
                      <a:avLst/>
                    </a:prstGeom>
                  </pic:spPr>
                </pic:pic>
              </a:graphicData>
            </a:graphic>
          </wp:anchor>
        </w:drawing>
      </w:r>
      <w:r>
        <w:rPr>
          <w:rFonts w:ascii="Noto Serif" w:hAnsi="Noto Serif"/>
        </w:rPr>
        <w:t>F</w:t>
      </w:r>
      <w:r>
        <w:rPr>
          <w:rFonts w:ascii="Noto Serif" w:hAnsi="Noto Serif"/>
        </w:rPr>
        <w:t>ig 3, Home Data with outliers</w:t>
      </w:r>
    </w:p>
    <w:p>
      <w:pPr>
        <w:pStyle w:val="TextBody"/>
        <w:bidi w:val="0"/>
        <w:jc w:val="left"/>
        <w:rPr>
          <w:rFonts w:ascii="Noto Serif" w:hAnsi="Noto Serif"/>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54040" cy="31051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654040" cy="3105150"/>
                    </a:xfrm>
                    <a:prstGeom prst="rect">
                      <a:avLst/>
                    </a:prstGeom>
                  </pic:spPr>
                </pic:pic>
              </a:graphicData>
            </a:graphic>
          </wp:anchor>
        </w:drawing>
      </w:r>
    </w:p>
    <w:p>
      <w:pPr>
        <w:pStyle w:val="TextBody"/>
        <w:bidi w:val="0"/>
        <w:jc w:val="left"/>
        <w:rPr/>
      </w:pPr>
      <w:r>
        <w:rPr>
          <w:rFonts w:ascii="Noto Serif" w:hAnsi="Noto Serif"/>
        </w:rPr>
        <w:t>Fig 4, Home Data without outliers</w:t>
      </w:r>
      <w:r>
        <w:br w:type="page"/>
      </w:r>
    </w:p>
    <w:p>
      <w:pPr>
        <w:pStyle w:val="TextBody"/>
        <w:bidi w:val="0"/>
        <w:jc w:val="left"/>
        <w:rPr>
          <w:rFonts w:ascii="Noto Serif" w:hAnsi="Noto Serif"/>
        </w:rPr>
      </w:pPr>
      <w:r>
        <w:rPr/>
      </w:r>
      <w:r>
        <w:br w:type="page"/>
      </w:r>
    </w:p>
    <w:p>
      <w:pPr>
        <w:pStyle w:val="Heading2"/>
        <w:bidi w:val="0"/>
        <w:jc w:val="left"/>
        <w:rPr/>
      </w:pPr>
      <w:r>
        <w:rPr>
          <w:rFonts w:ascii="Noto Serif" w:hAnsi="Noto Serif"/>
        </w:rPr>
        <w:t>Sample Calculations</w:t>
      </w:r>
    </w:p>
    <w:p>
      <w:pPr>
        <w:pStyle w:val="Heading2"/>
        <w:bidi w:val="0"/>
        <w:jc w:val="left"/>
        <w:rPr>
          <w:rFonts w:ascii="Noto Serif" w:hAnsi="Noto Serif"/>
        </w:rPr>
      </w:pPr>
      <w:r>
        <w:rPr>
          <w:rFonts w:ascii="Noto Serif" w:hAnsi="Noto Serif"/>
        </w:rPr>
        <w:t>References</w:t>
      </w:r>
    </w:p>
    <w:p>
      <w:pPr>
        <w:pStyle w:val="TextBody"/>
        <w:bidi w:val="0"/>
        <w:spacing w:before="0" w:after="140"/>
        <w:jc w:val="left"/>
        <w:rPr>
          <w:rFonts w:ascii="Noto Serif" w:hAnsi="Noto Serif"/>
        </w:rPr>
      </w:pPr>
      <w:r>
        <w:rPr>
          <w:rFonts w:ascii="Noto Serif" w:hAnsi="Noto Serif"/>
        </w:rPr>
      </w:r>
    </w:p>
    <w:sectPr>
      <w:headerReference w:type="default" r:id="rId6"/>
      <w:footerReference w:type="default" r:id="rId7"/>
      <w:type w:val="nextPage"/>
      <w:pgSz w:w="12240" w:h="15840"/>
      <w:pgMar w:left="1134" w:right="1134" w:header="1134" w:top="1969" w:footer="1134" w:bottom="1969"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Noto 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right"/>
      <w:rPr/>
    </w:pPr>
    <w:r>
      <w:rPr/>
      <w:t>Mike Sutherland</w:t>
      <w:br/>
    </w:r>
    <w:r>
      <w:rPr/>
      <w:fldChar w:fldCharType="begin"/>
    </w:r>
    <w:r>
      <w:rPr/>
      <w:instrText> PAGE </w:instrText>
    </w:r>
    <w:r>
      <w:rPr/>
      <w:fldChar w:fldCharType="separate"/>
    </w:r>
    <w:r>
      <w:rPr/>
      <w:t>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pPr>
    <w:r>
      <w:rPr/>
      <w:t>MAE107 Lab Report #1</w:t>
      <w:br/>
      <w:t>Spring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LibreOffice/6.4.6.2$Linux_X86_64 LibreOffice_project/40$Build-2</Application>
  <Pages>8</Pages>
  <Words>928</Words>
  <Characters>4617</Characters>
  <CharactersWithSpaces>5461</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2021-04-09T20:42:41Z</dcterms:created>
  <dc:creator/>
  <dc:description/>
  <dc:language>en-US</dc:language>
  <cp:lastModifiedBy/>
  <dcterms:modified xsi:type="dcterms:W3CDTF">2021-04-10T15:19:25Z</dcterms:modified>
  <cp:revision>1</cp:revision>
  <dc:subject/>
  <dc:title/>
</cp:coreProperties>
</file>