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single" w:color="1428A0" w:sz="18"/>
          <w:right w:val="none" w:color="FFFFFF" w:sz="0"/>
          <w:insideH w:val="none" w:color="FFFFFF" w:sz="0"/>
          <w:insideV w:val="none" w:color="FFFFFF" w:sz="0"/>
        </w:tblBorders>
      </w:tblPr>
      <w:tblGrid>
        <w:gridCol w:w="6288"/>
        <w:gridCol w:w="3350"/>
      </w:tblGrid>
      <w:tr>
        <w:tc>
          <w:tcPr>
            <w:tcW w:type="dxa" w:w="6288"/>
            <w:tcMar>
              <w:left w:type="dxa" w:w="0"/>
              <w:bottom w:type="dxa" w:w="200"/>
              <w:right w:type="dxa" w:w="0"/>
            </w:tcMar>
            <w:vAlign w:val="bottom"/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pacing w:val="40"/>
                <w:sz w:val="17"/>
                <w:szCs w:val="17"/>
              </w:rPr>
              <w:t xml:space="preserve">BUSINESS REPORT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1A1F36"/>
                <w:sz w:val="44"/>
                <w:szCs w:val="44"/>
              </w:rPr>
              <w:t xml:space="preserve">업무 보고서</w:t>
            </w:r>
          </w:p>
        </w:tc>
        <w:tc>
          <w:tcPr>
            <w:tcW w:type="dxa" w:w="3350"/>
            <w:tcMar>
              <w:left w:type="dxa" w:w="0"/>
              <w:bottom w:type="dxa" w:w="200"/>
              <w:right w:type="dxa" w:w="0"/>
            </w:tcMar>
            <w:vAlign w:val="bottom"/>
          </w:tcPr>
          <w:tbl>
            <w:tblPr>
              <w:tblW w:type="dxa" w:w="3150"/>
              <w:jc w:val="right"/>
              <w:tblBorders>
                <w:top w:val="single" w:color="D3DAEA" w:sz="4"/>
                <w:left w:val="single" w:color="D3DAEA" w:sz="4"/>
                <w:bottom w:val="single" w:color="D3DAEA" w:sz="4"/>
                <w:right w:val="single" w:color="D3DAEA" w:sz="4"/>
                <w:insideH w:val="single" w:color="D3DAEA" w:sz="4"/>
                <w:insideV w:val="single" w:color="D3DAEA" w:sz="4"/>
              </w:tblBorders>
            </w:tblPr>
            <w:tblGrid>
              <w:gridCol w:w="1050"/>
              <w:gridCol w:w="1050"/>
              <w:gridCol w:w="1050"/>
            </w:tblGrid>
            <w:tr>
              <w:trPr>
                <w:trHeight w:val="340" w:hRule="atLeast"/>
              </w:trPr>
              <w:tc>
                <w:tcPr>
                  <w:tcW w:type="dxa" w:w="1050"/>
                  <w:shd w:fill="EEF2FB" w:color="auto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428A0"/>
                      <w:sz w:val="16"/>
                      <w:szCs w:val="16"/>
                    </w:rPr>
                    <w:t xml:space="preserve">작성</w:t>
                  </w:r>
                </w:p>
              </w:tc>
              <w:tc>
                <w:tcPr>
                  <w:tcW w:type="dxa" w:w="1050"/>
                  <w:shd w:fill="EEF2FB" w:color="auto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428A0"/>
                      <w:sz w:val="16"/>
                      <w:szCs w:val="16"/>
                    </w:rPr>
                    <w:t xml:space="preserve">검토</w:t>
                  </w:r>
                </w:p>
              </w:tc>
              <w:tc>
                <w:tcPr>
                  <w:tcW w:type="dxa" w:w="1050"/>
                  <w:shd w:fill="EEF2FB" w:color="auto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428A0"/>
                      <w:sz w:val="16"/>
                      <w:szCs w:val="16"/>
                    </w:rPr>
                    <w:t xml:space="preserve">승인</w:t>
                  </w:r>
                </w:p>
              </w:tc>
            </w:tr>
            <w:tr>
              <w:trPr>
                <w:trHeight w:val="820" w:hRule="exact"/>
              </w:trPr>
              <w:tc>
                <w:tcPr>
                  <w:tcW w:type="dxa" w:w="1050"/>
                </w:tcPr>
                <w:p>
                  <w:r>
                    <w:rPr>
                      <w:rFonts w:ascii="Malgun Gothic" w:cs="Malgun Gothic" w:eastAsia="Malgun Gothic" w:hAnsi="Malgun Gothic"/>
                    </w:rPr>
                    <w:t xml:space="preserve"/>
                  </w:r>
                </w:p>
              </w:tc>
              <w:tc>
                <w:tcPr>
                  <w:tcW w:type="dxa" w:w="1050"/>
                </w:tcPr>
                <w:p>
                  <w:r>
                    <w:rPr>
                      <w:rFonts w:ascii="Malgun Gothic" w:cs="Malgun Gothic" w:eastAsia="Malgun Gothic" w:hAnsi="Malgun Gothic"/>
                    </w:rPr>
                    <w:t xml:space="preserve"/>
                  </w:r>
                </w:p>
              </w:tc>
              <w:tc>
                <w:tcPr>
                  <w:tcW w:type="dxa" w:w="1050"/>
                </w:tcPr>
                <w:p>
                  <w:r>
                    <w:rPr>
                      <w:rFonts w:ascii="Malgun Gothic" w:cs="Malgun Gothic" w:eastAsia="Malgun Gothic" w:hAnsi="Malgun Gothic"/>
                    </w:rPr>
                    <w:t xml:space="preserve"/>
                  </w:r>
                </w:p>
              </w:tc>
            </w:tr>
          </w:tbl>
          <w:p>
            <w:pPr>
              <w:spacing w:after="0"/>
            </w:pPr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</w:rPr>
        <w:t xml:space="preserve"/>
      </w:r>
    </w:p>
    <w:tbl>
      <w:tblPr>
        <w:tblW w:type="dxa" w:w="9638"/>
        <w:tblBorders>
          <w:top w:val="single" w:color="1428A0" w:sz="12"/>
          <w:left w:val="none" w:color="FFFFFF" w:sz="0"/>
          <w:bottom w:val="single" w:color="D3DAEA" w:sz="4"/>
          <w:right w:val="none" w:color="FFFFFF" w:sz="0"/>
          <w:insideH w:val="single" w:color="D3DAEA" w:sz="4"/>
          <w:insideV w:val="single" w:color="D3DAEA" w:sz="4"/>
        </w:tblBorders>
      </w:tblPr>
      <w:tblGrid>
        <w:gridCol w:w="1500"/>
        <w:gridCol w:w="3319"/>
        <w:gridCol w:w="1500"/>
        <w:gridCol w:w="3319"/>
      </w:tblGrid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제목</w:t>
            </w:r>
          </w:p>
        </w:tc>
        <w:tc>
          <w:tcPr>
            <w:tcW w:type="dxa" w:w="8138"/>
            <w:gridSpan w:val="3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AI 업무 도우미 파일럿 후속 회의(경영회의 보고 전 점검) 결과 보고</w:t>
            </w:r>
          </w:p>
        </w:tc>
      </w:tr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보고 일자</w:t>
            </w:r>
          </w:p>
        </w:tc>
        <w:tc>
          <w:tcPr>
            <w:tcW w:type="dxa" w:w="3319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2026.09.22 (화)</w:t>
            </w:r>
          </w:p>
        </w:tc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작성자</w:t>
            </w:r>
          </w:p>
        </w:tc>
        <w:tc>
          <w:tcPr>
            <w:tcW w:type="dxa" w:w="3319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한서연 책임(회의 기록)</w:t>
            </w:r>
          </w:p>
        </w:tc>
      </w:tr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소속</w:t>
            </w:r>
          </w:p>
        </w:tc>
        <w:tc>
          <w:tcPr>
            <w:tcW w:type="dxa" w:w="3319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업무혁신팀</w:t>
            </w:r>
          </w:p>
        </w:tc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보고 대상</w:t>
            </w:r>
          </w:p>
        </w:tc>
        <w:tc>
          <w:tcPr>
            <w:tcW w:type="dxa" w:w="3319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정민호 팀장(업무혁신팀)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Malgun Gothic" w:cs="Malgun Gothic" w:eastAsia="Malgun Gothic" w:hAnsi="Malgun Gothic"/>
          <w:b/>
          <w:bCs/>
          <w:color w:val="1428A0"/>
          <w:sz w:val="24"/>
          <w:szCs w:val="24"/>
        </w:rPr>
        <w:t xml:space="preserve">01</w:t>
      </w:r>
      <w:r>
        <w:rPr>
          <w:rFonts w:ascii="Malgun Gothic" w:cs="Malgun Gothic" w:eastAsia="Malgun Gothic" w:hAnsi="Malgun Gothic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F36"/>
          <w:sz w:val="24"/>
          <w:szCs w:val="24"/>
        </w:rPr>
        <w:t xml:space="preserve">보고 요약</w:t>
      </w:r>
    </w:p>
    <w:tbl>
      <w:tblPr>
        <w:tblW w:type="dxa" w:w="9578"/>
        <w:tblBorders>
          <w:top w:val="none" w:color="FFFFFF" w:sz="0"/>
          <w:left w:val="single" w:color="1428A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578"/>
      </w:tblGrid>
      <w:tr>
        <w:trPr>
          <w:trHeight w:val="1300" w:hRule="atLeast"/>
        </w:trPr>
        <w:tc>
          <w:tcPr>
            <w:tcW w:type="dxa" w:w="9578"/>
            <w:shd w:fill="EEF2FB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F36"/>
                <w:sz w:val="19"/>
                <w:szCs w:val="19"/>
              </w:rPr>
              <w:t xml:space="preserve">[결론] 1차 확대 계획(400명 안팎, 2026.11.02(월) 시작)을 그대로 유지하고, 지난 회의 미결 건(보안, 예산, SSO, 활성률 목표)의 방향을 정하였습니다.</w:t>
            </w:r>
          </w:p>
          <w:p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보안: 교육, 보안 서약서, 파일 업로드 시 경고 창으로 확정</w:t>
            </w:r>
          </w:p>
          <w:p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예산: 400명 기준 연 1억 4,400만 원(정가, 부가세 별도). 1년 계약 할인은 서면 견적 확보 후 확정</w:t>
            </w:r>
          </w:p>
          <w:p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활성률: 목표치 대신 주간 활성률 추이(1~8주 차)와 부서별 편차를 보고</w:t>
            </w:r>
          </w:p>
          <w:p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SSO(사내 통합 로그인) 연동: 2026.10.05(월) 착수, 2026.10.23(금) 완료 예정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1A1F36"/>
                <w:sz w:val="19"/>
                <w:szCs w:val="19"/>
              </w:rPr>
              <w:t xml:space="preserve">[다음 계획] 경영회의 보고 자료를 2026.10.06(화)까지 수정하여 2026.10.08(목) 경영회의에 보고합니다.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Malgun Gothic" w:cs="Malgun Gothic" w:eastAsia="Malgun Gothic" w:hAnsi="Malgun Gothic"/>
          <w:b/>
          <w:bCs/>
          <w:color w:val="1428A0"/>
          <w:sz w:val="24"/>
          <w:szCs w:val="24"/>
        </w:rPr>
        <w:t xml:space="preserve">02</w:t>
      </w:r>
      <w:r>
        <w:rPr>
          <w:rFonts w:ascii="Malgun Gothic" w:cs="Malgun Gothic" w:eastAsia="Malgun Gothic" w:hAnsi="Malgun Gothic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F36"/>
          <w:sz w:val="24"/>
          <w:szCs w:val="24"/>
        </w:rPr>
        <w:t xml:space="preserve">회의 개요</w:t>
      </w:r>
    </w:p>
    <w:tbl>
      <w:tblPr>
        <w:tblW w:type="dxa" w:w="9638"/>
        <w:tblBorders>
          <w:top w:val="single" w:color="1428A0" w:sz="12"/>
          <w:left w:val="none" w:color="FFFFFF" w:sz="0"/>
          <w:bottom w:val="single" w:color="D3DAEA" w:sz="4"/>
          <w:right w:val="none" w:color="FFFFFF" w:sz="0"/>
          <w:insideH w:val="single" w:color="D3DAEA" w:sz="4"/>
          <w:insideV w:val="single" w:color="D3DAEA" w:sz="4"/>
        </w:tblBorders>
      </w:tblPr>
      <w:tblGrid>
        <w:gridCol w:w="1500"/>
        <w:gridCol w:w="3319"/>
        <w:gridCol w:w="1500"/>
        <w:gridCol w:w="3319"/>
      </w:tblGrid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회의명</w:t>
            </w:r>
          </w:p>
        </w:tc>
        <w:tc>
          <w:tcPr>
            <w:tcW w:type="dxa" w:w="8138"/>
            <w:gridSpan w:val="3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AI 업무 도우미 파일럿 후속 회의(경영회의 보고 전 점검)</w:t>
            </w:r>
          </w:p>
        </w:tc>
      </w:tr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일시</w:t>
            </w:r>
          </w:p>
        </w:tc>
        <w:tc>
          <w:tcPr>
            <w:tcW w:type="dxa" w:w="3319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2026.09.22 (화) 14:00~15:00</w:t>
            </w:r>
          </w:p>
        </w:tc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장소</w:t>
            </w:r>
          </w:p>
        </w:tc>
        <w:tc>
          <w:tcPr>
            <w:tcW w:type="dxa" w:w="3319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본관 7층 소회의실</w:t>
            </w:r>
          </w:p>
        </w:tc>
      </w:tr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참석자</w:t>
            </w:r>
          </w:p>
        </w:tc>
        <w:tc>
          <w:tcPr>
            <w:tcW w:type="dxa" w:w="8138"/>
            <w:gridSpan w:val="3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정민호 팀장(업무혁신팀), 한서연 책임(업무혁신팀, 기록), 오지훈 선임(정보보안팀), 박도현 과장(재무팀), 김태윤 책임(IT인프라팀)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※ 윤가은 책임(인사팀)은 교육 일정으로 불참하고 메일로 진행 상황을 전달하였습니다.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Malgun Gothic" w:cs="Malgun Gothic" w:eastAsia="Malgun Gothic" w:hAnsi="Malgun Gothic"/>
          <w:b/>
          <w:bCs/>
          <w:color w:val="1428A0"/>
          <w:sz w:val="24"/>
          <w:szCs w:val="24"/>
        </w:rPr>
        <w:t xml:space="preserve">03</w:t>
      </w:r>
      <w:r>
        <w:rPr>
          <w:rFonts w:ascii="Malgun Gothic" w:cs="Malgun Gothic" w:eastAsia="Malgun Gothic" w:hAnsi="Malgun Gothic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F36"/>
          <w:sz w:val="24"/>
          <w:szCs w:val="24"/>
        </w:rPr>
        <w:t xml:space="preserve">주요 논의 내용</w:t>
      </w:r>
    </w:p>
    <w:tbl>
      <w:tblPr>
        <w:tblW w:type="dxa" w:w="9638"/>
        <w:tblBorders>
          <w:top w:val="single" w:color="1428A0" w:sz="12"/>
          <w:left w:val="none" w:color="FFFFFF" w:sz="0"/>
          <w:bottom w:val="single" w:color="D3DAEA" w:sz="4"/>
          <w:right w:val="none" w:color="FFFFFF" w:sz="0"/>
          <w:insideH w:val="single" w:color="D3DAEA" w:sz="4"/>
          <w:insideV w:val="single" w:color="D3DAEA" w:sz="4"/>
        </w:tblBorders>
      </w:tblPr>
      <w:tblGrid>
        <w:gridCol w:w="2200"/>
        <w:gridCol w:w="7438"/>
      </w:tblGrid>
      <w:tr>
        <w:trPr>
          <w:tblHeader/>
          <w:trHeight w:val="400" w:hRule="atLeast"/>
        </w:trPr>
        <w:tc>
          <w:tcPr>
            <w:tcW w:type="dxa" w:w="22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안건</w:t>
            </w:r>
          </w:p>
        </w:tc>
        <w:tc>
          <w:tcPr>
            <w:tcW w:type="dxa" w:w="7438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논의 내용</w:t>
            </w:r>
          </w:p>
        </w:tc>
      </w:tr>
      <w:tr>
        <w:trPr>
          <w:trHeight w:val="640" w:hRule="atLeast"/>
        </w:trPr>
        <w:tc>
          <w:tcPr>
            <w:tcW w:type="dxa" w:w="22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지난 회의 후속 조치</w:t>
            </w:r>
          </w:p>
        </w:tc>
        <w:tc>
          <w:tcPr>
            <w:tcW w:type="dxa" w:w="74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사용 로그 추출이 가능함을 확인하였습니다(사용 횟수, 대화 수만 제공).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· 6주 차 1인당 주평균 대화 11회, 상위 20% 사용자가 전체 대화의 55% 차지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보안 서약서 미제출 8명 중 5명이 제출하여 3명이 남았습니다(영업지원 2명, 재무 1명).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사내 문서 검색 연동은 공급사 답변을 기다리고 있으며, 추석 연휴 이후 회신 예정입니다.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사용량 평가 미반영 공지는 2026.09.11(금) 인사팀 명의로 게시되었습니다.</w:t>
            </w:r>
          </w:p>
        </w:tc>
      </w:tr>
      <w:tr>
        <w:trPr>
          <w:trHeight w:val="640" w:hRule="atLeast"/>
        </w:trPr>
        <w:tc>
          <w:tcPr>
            <w:tcW w:type="dxa" w:w="22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보안</w:t>
            </w:r>
          </w:p>
        </w:tc>
        <w:tc>
          <w:tcPr>
            <w:tcW w:type="dxa" w:w="74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보안팀장 의견: 교육과 서약서에 '파일 업로드 시 경고 창'을 추가하면 1차 확대에 동의합니다.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· 영업팀 요청을 반영하여 업로드 차단은 하지 않습니다.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· 민감정보 자동 탐지는 병행 개발하며 2026년 12월 중 적용이 목표입니다.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경고 창은 설정으로 켤 수 있어 별도 개발이 필요 없습니다(김태윤 책임).</w:t>
            </w:r>
          </w:p>
        </w:tc>
      </w:tr>
      <w:tr>
        <w:trPr>
          <w:trHeight w:val="640" w:hRule="atLeast"/>
        </w:trPr>
        <w:tc>
          <w:tcPr>
            <w:tcW w:type="dxa" w:w="22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예산</w:t>
            </w:r>
          </w:p>
        </w:tc>
        <w:tc>
          <w:tcPr>
            <w:tcW w:type="dxa" w:w="74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라이선스 1인당 월 3만 원은 부가세 별도로 확인되었습니다.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- 400명 기준 연 1억 4,400만 원입니다(정가, 부가세 별도).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공급사가 1년 계약 시 20% 할인이 가능하다고 구두로 안내하였으나, 서면 견적은 받지 못하였습니다.</w:t>
            </w:r>
          </w:p>
        </w:tc>
      </w:tr>
      <w:tr>
        <w:trPr>
          <w:trHeight w:val="640" w:hRule="atLeast"/>
        </w:trPr>
        <w:tc>
          <w:tcPr>
            <w:tcW w:type="dxa" w:w="22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SSO 연동</w:t>
            </w:r>
          </w:p>
        </w:tc>
        <w:tc>
          <w:tcPr>
            <w:tcW w:type="dxa" w:w="74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- 2026.10.05(월) 착수, 2026.10.23(금) 완료 예정이며 테스트 1주가 포함되어 있습니다.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- 2026.11.02 시작에는 문제가 없으나, 공급사 설정 변경이 늦어지면 1주 지연될 수 있습니다.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장애 공지 절차 초안을 공유하였습니다.</w:t>
            </w:r>
          </w:p>
        </w:tc>
      </w:tr>
      <w:tr>
        <w:trPr>
          <w:trHeight w:val="640" w:hRule="atLeast"/>
        </w:trPr>
        <w:tc>
          <w:tcPr>
            <w:tcW w:type="dxa" w:w="22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활성률 목표</w:t>
            </w:r>
          </w:p>
        </w:tc>
        <w:tc>
          <w:tcPr>
            <w:tcW w:type="dxa" w:w="74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목표치를 정하면 억지 사용이 생긴다는 의견(박도현 과장)과 경영회의에서 숫자 목표를 물어볼 것이라는 의견(정민호 팀장)이 있었습니다.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보고 자료에는 목표치 대신 주간 활성률 추이와 부서별 편차를 제시하고, 1차 확대 3개월 뒤 다시 논의하기로 하였습니다.</w:t>
            </w:r>
          </w:p>
        </w:tc>
      </w:tr>
      <w:tr>
        <w:trPr>
          <w:trHeight w:val="640" w:hRule="atLeast"/>
        </w:trPr>
        <w:tc>
          <w:tcPr>
            <w:tcW w:type="dxa" w:w="22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교육(인사팀 메일 공유)</w:t>
            </w:r>
          </w:p>
        </w:tc>
        <w:tc>
          <w:tcPr>
            <w:tcW w:type="dxa" w:w="74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부서별 활용 사례집 초안은 60% 진행되었으며, 2026.10.02 마감은 지킬 수 있습니다.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사례집용 짧은 설문은 2026.09.23(수)에 발송할 예정입니다.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- 11월 신입 교육에 사용법 교육 1시간을 넣는 안은 인사팀장 승인을 기다리고 있습니다.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Malgun Gothic" w:cs="Malgun Gothic" w:eastAsia="Malgun Gothic" w:hAnsi="Malgun Gothic"/>
          <w:b/>
          <w:bCs/>
          <w:color w:val="1428A0"/>
          <w:sz w:val="24"/>
          <w:szCs w:val="24"/>
        </w:rPr>
        <w:t xml:space="preserve">04</w:t>
      </w:r>
      <w:r>
        <w:rPr>
          <w:rFonts w:ascii="Malgun Gothic" w:cs="Malgun Gothic" w:eastAsia="Malgun Gothic" w:hAnsi="Malgun Gothic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F36"/>
          <w:sz w:val="24"/>
          <w:szCs w:val="24"/>
        </w:rPr>
        <w:t xml:space="preserve">결정 사항</w:t>
      </w:r>
    </w:p>
    <w:tbl>
      <w:tblPr>
        <w:tblW w:type="dxa" w:w="9638"/>
        <w:tblBorders>
          <w:top w:val="single" w:color="1428A0" w:sz="12"/>
          <w:left w:val="none" w:color="FFFFFF" w:sz="0"/>
          <w:bottom w:val="single" w:color="D3DAEA" w:sz="4"/>
          <w:right w:val="none" w:color="FFFFFF" w:sz="0"/>
          <w:insideH w:val="single" w:color="D3DAEA" w:sz="4"/>
          <w:insideV w:val="single" w:color="D3DAEA" w:sz="4"/>
        </w:tblBorders>
      </w:tblPr>
      <w:tblGrid>
        <w:gridCol w:w="7238"/>
        <w:gridCol w:w="2400"/>
      </w:tblGrid>
      <w:tr>
        <w:trPr>
          <w:tblHeader/>
          <w:trHeight w:val="400" w:hRule="atLeast"/>
        </w:trPr>
        <w:tc>
          <w:tcPr>
            <w:tcW w:type="dxa" w:w="7238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결정 내용</w:t>
            </w:r>
          </w:p>
        </w:tc>
        <w:tc>
          <w:tcPr>
            <w:tcW w:type="dxa" w:w="24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비고</w:t>
            </w:r>
          </w:p>
        </w:tc>
      </w:tr>
      <w:tr>
        <w:trPr>
          <w:trHeight w:val="460" w:hRule="atLeast"/>
        </w:trPr>
        <w:tc>
          <w:tcPr>
            <w:tcW w:type="dxa" w:w="72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1차 확대는 400명 안팎, 2026.11.02(월) 시작을 그대로 유지합니다.</w:t>
            </w:r>
          </w:p>
        </w:tc>
        <w:tc>
          <w:tcPr>
            <w:tcW w:type="dxa" w:w="2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72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1차 보안 방안을 교육, 보안 서약서, 파일 업로드 시 경고 창으로 확정합니다. 업로드 차단은 하지 않습니다.</w:t>
            </w:r>
          </w:p>
        </w:tc>
        <w:tc>
          <w:tcPr>
            <w:tcW w:type="dxa" w:w="2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민감정보 자동 탐지는 2026년 12월 적용 목표로 병행 개발</w:t>
            </w:r>
          </w:p>
        </w:tc>
      </w:tr>
      <w:tr>
        <w:trPr>
          <w:trHeight w:val="460" w:hRule="atLeast"/>
        </w:trPr>
        <w:tc>
          <w:tcPr>
            <w:tcW w:type="dxa" w:w="72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보고 자료의 예산은 정가 기준으로 작성하고, 할인은 '협의 중'으로 표기합니다.</w:t>
            </w:r>
          </w:p>
        </w:tc>
        <w:tc>
          <w:tcPr>
            <w:tcW w:type="dxa" w:w="2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예산 페이지는 박도현 과장 검토</w:t>
            </w:r>
          </w:p>
        </w:tc>
      </w:tr>
      <w:tr>
        <w:trPr>
          <w:trHeight w:val="460" w:hRule="atLeast"/>
        </w:trPr>
        <w:tc>
          <w:tcPr>
            <w:tcW w:type="dxa" w:w="72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보고 자료에는 활성률 목표치 대신 주간 활성률 추이(1~8주 차)와 부서별 편차를 제시합니다.</w:t>
            </w:r>
          </w:p>
        </w:tc>
        <w:tc>
          <w:tcPr>
            <w:tcW w:type="dxa" w:w="2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1차 확대 3개월 뒤 재논의</w:t>
            </w:r>
          </w:p>
        </w:tc>
      </w:tr>
      <w:tr>
        <w:trPr>
          <w:trHeight w:val="460" w:hRule="atLeast"/>
        </w:trPr>
        <w:tc>
          <w:tcPr>
            <w:tcW w:type="dxa" w:w="72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다음 회의는 경영회의 이후에 일정을 잡습니다.</w:t>
            </w:r>
          </w:p>
        </w:tc>
        <w:tc>
          <w:tcPr>
            <w:tcW w:type="dxa" w:w="2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날짜 미정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Malgun Gothic" w:cs="Malgun Gothic" w:eastAsia="Malgun Gothic" w:hAnsi="Malgun Gothic"/>
          <w:b/>
          <w:bCs/>
          <w:color w:val="1428A0"/>
          <w:sz w:val="24"/>
          <w:szCs w:val="24"/>
        </w:rPr>
        <w:t xml:space="preserve">05</w:t>
      </w:r>
      <w:r>
        <w:rPr>
          <w:rFonts w:ascii="Malgun Gothic" w:cs="Malgun Gothic" w:eastAsia="Malgun Gothic" w:hAnsi="Malgun Gothic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F36"/>
          <w:sz w:val="24"/>
          <w:szCs w:val="24"/>
        </w:rPr>
        <w:t xml:space="preserve">이슈 및 미결 사항</w:t>
      </w:r>
    </w:p>
    <w:tbl>
      <w:tblPr>
        <w:tblW w:type="dxa" w:w="9638"/>
        <w:tblBorders>
          <w:top w:val="single" w:color="1428A0" w:sz="12"/>
          <w:left w:val="none" w:color="FFFFFF" w:sz="0"/>
          <w:bottom w:val="single" w:color="D3DAEA" w:sz="4"/>
          <w:right w:val="none" w:color="FFFFFF" w:sz="0"/>
          <w:insideH w:val="single" w:color="D3DAEA" w:sz="4"/>
          <w:insideV w:val="single" w:color="D3DAEA" w:sz="4"/>
        </w:tblBorders>
      </w:tblPr>
      <w:tblGrid>
        <w:gridCol w:w="1400"/>
        <w:gridCol w:w="3838"/>
        <w:gridCol w:w="1000"/>
        <w:gridCol w:w="3400"/>
      </w:tblGrid>
      <w:tr>
        <w:trPr>
          <w:tblHeader/>
          <w:trHeight w:val="400" w:hRule="atLeast"/>
        </w:trPr>
        <w:tc>
          <w:tcPr>
            <w:tcW w:type="dxa" w:w="14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구분</w:t>
            </w:r>
          </w:p>
        </w:tc>
        <w:tc>
          <w:tcPr>
            <w:tcW w:type="dxa" w:w="3838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내용</w:t>
            </w:r>
          </w:p>
        </w:tc>
        <w:tc>
          <w:tcPr>
            <w:tcW w:type="dxa" w:w="10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영향도</w:t>
            </w:r>
          </w:p>
        </w:tc>
        <w:tc>
          <w:tcPr>
            <w:tcW w:type="dxa" w:w="34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대응 방안</w:t>
            </w:r>
          </w:p>
        </w:tc>
      </w:tr>
      <w:tr>
        <w:trPr>
          <w:trHeight w:val="460" w:hRule="atLeast"/>
        </w:trPr>
        <w:tc>
          <w:tcPr>
            <w:tcW w:type="dxa" w:w="1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일정</w:t>
            </w:r>
          </w:p>
        </w:tc>
        <w:tc>
          <w:tcPr>
            <w:tcW w:type="dxa" w:w="38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공급사 설정 변경이 늦어지면 SSO 연동이 1주 지연될 수 있음</w:t>
            </w:r>
          </w:p>
        </w:tc>
        <w:tc>
          <w:tcPr>
            <w:tcW w:type="dxa" w:w="10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중간</w:t>
            </w:r>
          </w:p>
        </w:tc>
        <w:tc>
          <w:tcPr>
            <w:tcW w:type="dxa" w:w="3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대응 담당 지정 필요</w:t>
            </w:r>
          </w:p>
        </w:tc>
      </w:tr>
      <w:tr>
        <w:trPr>
          <w:trHeight w:val="460" w:hRule="atLeast"/>
        </w:trPr>
        <w:tc>
          <w:tcPr>
            <w:tcW w:type="dxa" w:w="1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비용</w:t>
            </w:r>
          </w:p>
        </w:tc>
        <w:tc>
          <w:tcPr>
            <w:tcW w:type="dxa" w:w="38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1년 계약 20% 할인은 구두 안내만 있고 서면 견적이 없음</w:t>
            </w:r>
          </w:p>
        </w:tc>
        <w:tc>
          <w:tcPr>
            <w:tcW w:type="dxa" w:w="10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중간</w:t>
            </w:r>
          </w:p>
        </w:tc>
        <w:tc>
          <w:tcPr>
            <w:tcW w:type="dxa" w:w="3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박도현 과장이 2026.10.02까지 서면 견적 확보</w:t>
            </w:r>
          </w:p>
        </w:tc>
      </w:tr>
      <w:tr>
        <w:trPr>
          <w:trHeight w:val="460" w:hRule="atLeast"/>
        </w:trPr>
        <w:tc>
          <w:tcPr>
            <w:tcW w:type="dxa" w:w="1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보안</w:t>
            </w:r>
          </w:p>
        </w:tc>
        <w:tc>
          <w:tcPr>
            <w:tcW w:type="dxa" w:w="38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보안 서약서 미제출 3명(영업지원 2명, 재무 1명)</w:t>
            </w:r>
          </w:p>
        </w:tc>
        <w:tc>
          <w:tcPr>
            <w:tcW w:type="dxa" w:w="10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낮음</w:t>
            </w:r>
          </w:p>
        </w:tc>
        <w:tc>
          <w:tcPr>
            <w:tcW w:type="dxa" w:w="3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한서연 책임이 추석 연휴 전까지 회수</w:t>
            </w:r>
          </w:p>
        </w:tc>
      </w:tr>
      <w:tr>
        <w:trPr>
          <w:trHeight w:val="460" w:hRule="atLeast"/>
        </w:trPr>
        <w:tc>
          <w:tcPr>
            <w:tcW w:type="dxa" w:w="1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2차 범위</w:t>
            </w:r>
          </w:p>
        </w:tc>
        <w:tc>
          <w:tcPr>
            <w:tcW w:type="dxa" w:w="38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사내 문서 검색 연동 공급사 답변 대기</w:t>
            </w:r>
          </w:p>
        </w:tc>
        <w:tc>
          <w:tcPr>
            <w:tcW w:type="dxa" w:w="10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낮음</w:t>
            </w:r>
          </w:p>
        </w:tc>
        <w:tc>
          <w:tcPr>
            <w:tcW w:type="dxa" w:w="3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추석 연휴 이후 회신 확인</w:t>
            </w:r>
          </w:p>
        </w:tc>
      </w:tr>
      <w:tr>
        <w:trPr>
          <w:trHeight w:val="460" w:hRule="atLeast"/>
        </w:trPr>
        <w:tc>
          <w:tcPr>
            <w:tcW w:type="dxa" w:w="1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교육</w:t>
            </w:r>
          </w:p>
        </w:tc>
        <w:tc>
          <w:tcPr>
            <w:tcW w:type="dxa" w:w="38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11월 신입 교육 내 사용법 교육(1시간) 인사팀장 승인 대기</w:t>
            </w:r>
          </w:p>
        </w:tc>
        <w:tc>
          <w:tcPr>
            <w:tcW w:type="dxa" w:w="10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낮음</w:t>
            </w:r>
          </w:p>
        </w:tc>
        <w:tc>
          <w:tcPr>
            <w:tcW w:type="dxa" w:w="3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윤가은 책임이 승인 결과 공유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Malgun Gothic" w:cs="Malgun Gothic" w:eastAsia="Malgun Gothic" w:hAnsi="Malgun Gothic"/>
          <w:b/>
          <w:bCs/>
          <w:color w:val="1428A0"/>
          <w:sz w:val="24"/>
          <w:szCs w:val="24"/>
        </w:rPr>
        <w:t xml:space="preserve">06</w:t>
      </w:r>
      <w:r>
        <w:rPr>
          <w:rFonts w:ascii="Malgun Gothic" w:cs="Malgun Gothic" w:eastAsia="Malgun Gothic" w:hAnsi="Malgun Gothic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F36"/>
          <w:sz w:val="24"/>
          <w:szCs w:val="24"/>
        </w:rPr>
        <w:t xml:space="preserve">실행 과제</w:t>
      </w:r>
    </w:p>
    <w:tbl>
      <w:tblPr>
        <w:tblW w:type="dxa" w:w="9638"/>
        <w:tblBorders>
          <w:top w:val="single" w:color="1428A0" w:sz="12"/>
          <w:left w:val="none" w:color="FFFFFF" w:sz="0"/>
          <w:bottom w:val="single" w:color="D3DAEA" w:sz="4"/>
          <w:right w:val="none" w:color="FFFFFF" w:sz="0"/>
          <w:insideH w:val="single" w:color="D3DAEA" w:sz="4"/>
          <w:insideV w:val="single" w:color="D3DAEA" w:sz="4"/>
        </w:tblBorders>
      </w:tblPr>
      <w:tblGrid>
        <w:gridCol w:w="4638"/>
        <w:gridCol w:w="1800"/>
        <w:gridCol w:w="1600"/>
        <w:gridCol w:w="1600"/>
      </w:tblGrid>
      <w:tr>
        <w:trPr>
          <w:tblHeader/>
          <w:trHeight w:val="400" w:hRule="atLeast"/>
        </w:trPr>
        <w:tc>
          <w:tcPr>
            <w:tcW w:type="dxa" w:w="4638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과제</w:t>
            </w:r>
          </w:p>
        </w:tc>
        <w:tc>
          <w:tcPr>
            <w:tcW w:type="dxa" w:w="18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담당</w:t>
            </w:r>
          </w:p>
        </w:tc>
        <w:tc>
          <w:tcPr>
            <w:tcW w:type="dxa" w:w="16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기한</w:t>
            </w:r>
          </w:p>
        </w:tc>
        <w:tc>
          <w:tcPr>
            <w:tcW w:type="dxa" w:w="16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상태</w:t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보안 서약서 미제출 3명 회수</w:t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한서연 책임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추석 연휴 전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진행 중</w:t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사례집용 짧은 설문 발송</w:t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윤가은 책임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2026.09.23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예정</w:t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장애 공지 절차 초안 검토 의견 메일 회신</w:t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참석자 전원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2026.09.30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예정</w:t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1년 계약 할인 서면 견적 확보</w:t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박도현 과장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2026.10.02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예정</w:t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부서별 활용 사례집 초안 완료</w:t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윤가은 책임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2026.10.02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진행 중(60%)</w:t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SSO 연동 착수</w:t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김태윤 책임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2026.10.05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예정</w:t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경영회의 보고 자료 수정(예산 페이지는 박도현 과장 검토)</w:t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한서연 책임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2026.10.06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진행 중</w:t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SSO 연동 완료(테스트 1주 포함)</w:t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김태윤 책임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2026.10.23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예정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Malgun Gothic" w:cs="Malgun Gothic" w:eastAsia="Malgun Gothic" w:hAnsi="Malgun Gothic"/>
          <w:b/>
          <w:bCs/>
          <w:color w:val="1428A0"/>
          <w:sz w:val="24"/>
          <w:szCs w:val="24"/>
        </w:rPr>
        <w:t xml:space="preserve">07</w:t>
      </w:r>
      <w:r>
        <w:rPr>
          <w:rFonts w:ascii="Malgun Gothic" w:cs="Malgun Gothic" w:eastAsia="Malgun Gothic" w:hAnsi="Malgun Gothic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F36"/>
          <w:sz w:val="24"/>
          <w:szCs w:val="24"/>
        </w:rPr>
        <w:t xml:space="preserve">요청 사항 및 향후 일정</w:t>
      </w:r>
    </w:p>
    <w:tbl>
      <w:tblPr>
        <w:tblW w:type="dxa" w:w="9638"/>
        <w:tblBorders>
          <w:top w:val="single" w:color="1428A0" w:sz="12"/>
          <w:left w:val="none" w:color="FFFFFF" w:sz="0"/>
          <w:bottom w:val="single" w:color="D3DAEA" w:sz="4"/>
          <w:right w:val="none" w:color="FFFFFF" w:sz="0"/>
          <w:insideH w:val="single" w:color="D3DAEA" w:sz="4"/>
          <w:insideV w:val="single" w:color="D3DAEA" w:sz="4"/>
        </w:tblBorders>
      </w:tblPr>
      <w:tblGrid>
        <w:gridCol w:w="1500"/>
        <w:gridCol w:w="3319"/>
        <w:gridCol w:w="1500"/>
        <w:gridCol w:w="3319"/>
      </w:tblGrid>
      <w:tr>
        <w:trPr>
          <w:trHeight w:val="76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요청 사항</w:t>
            </w:r>
          </w:p>
        </w:tc>
        <w:tc>
          <w:tcPr>
            <w:tcW w:type="dxa" w:w="8138"/>
            <w:gridSpan w:val="3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장애 공지 절차 초안을 검토하시고 2026.09.30(수)까지 김태윤 책임에게 메일로 의견을 보내 주시기 바랍니다.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서약서 회수 기한이 '추석 연휴 전'(연휴 시작 2026.09.24)으로만 정해져 있어 구체적인 날짜 확인이 필요합니다.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SSO 연동 지연 위험의 대응 담당 지정이 필요합니다.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※ 05 이슈 및 미결 사항의 영향도는 회의록 내용을 바탕으로 작성자가 판단한 값입니다.</w:t>
            </w:r>
          </w:p>
        </w:tc>
      </w:tr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향후 일정</w:t>
            </w:r>
          </w:p>
        </w:tc>
        <w:tc>
          <w:tcPr>
            <w:tcW w:type="dxa" w:w="8138"/>
            <w:gridSpan w:val="3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- 2026.10.06(화) 경영회의 보고 자료 최종본 팀장 검토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- 2026.10.08(목) 경영회의 보고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- 2026.10.05(월)~10.23(금) SSO 연동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- 2026.11.02(월) 1차 확대 시작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- 다음 회의: 경영회의 이후 확정</w:t>
            </w:r>
          </w:p>
        </w:tc>
      </w:tr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첨부</w:t>
            </w:r>
          </w:p>
        </w:tc>
        <w:tc>
          <w:tcPr>
            <w:tcW w:type="dxa" w:w="8138"/>
            <w:gridSpan w:val="3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회의 메모 원본(2026-09-22_AI업무도우미_후속회의.txt)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>※ 회의에서 공유된 장애 공지 절차 초안은 김태윤 책임에게 파일 확인이 필요합니다.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AEA" w:sz="4" w:space="6"/>
      </w:pBdr>
      <w:tabs>
        <w:tab w:val="right" w:pos="9638"/>
      </w:tabs>
    </w:pPr>
    <w:r>
      <w:rPr>
        <w:rFonts w:ascii="Malgun Gothic" w:cs="Malgun Gothic" w:eastAsia="Malgun Gothic" w:hAnsi="Malgun Gothic"/>
        <w:color w:val="6B7280"/>
        <w:sz w:val="17"/>
        <w:szCs w:val="17"/>
      </w:rPr>
      <w:t xml:space="preserve">업무 보고서</w:t>
    </w:r>
    <w:r>
      <w:rPr>
        <w:rFonts w:ascii="Malgun Gothic" w:cs="Malgun Gothic" w:eastAsia="Malgun Gothic" w:hAnsi="Malgun Gothic"/>
        <w:color w:val="6B7280"/>
        <w:sz w:val="17"/>
        <w:szCs w:val="17"/>
      </w:rPr>
      <w:tab/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1F36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Malgun Gothic" w:cs="Malgun Gothic" w:eastAsia="Malgun Gothic" w:hAnsi="Malgun Gothic"/>
      <w:b/>
      <w:bCs/>
      <w:color w:val="1A1F3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업무 보고서 양식</dc:title>
  <cp:lastModifiedBy>Un-named</cp:lastModifiedBy>
  <cp:revision>1</cp:revision>
  <dcterms:created xsi:type="dcterms:W3CDTF">2026-09-15T21:57:37.032Z</dcterms:created>
  <dcterms:modified xsi:type="dcterms:W3CDTF">2026-09-15T21:57:37.032Z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