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Riverside Neighbors Association</w:t>
      </w:r>
    </w:p>
    <w:p>
      <w:r>
        <w:rPr>
          <w:b/>
          <w:sz w:val="28"/>
        </w:rPr>
        <w:t>Board Meeting Minutes — March 12, 2026</w:t>
      </w:r>
    </w:p>
    <w:p>
      <w:r>
        <w:t>Meeting called to order at 7:00 PM by the President.</w:t>
      </w:r>
    </w:p>
    <w:p>
      <w:pPr>
        <w:pStyle w:val="Heading2"/>
      </w:pPr>
      <w:r>
        <w:t>Attendance</w:t>
      </w:r>
    </w:p>
    <w:p>
      <w:pPr>
        <w:pStyle w:val="ListBullet"/>
      </w:pPr>
      <w:r>
        <w:t>Maria Alvarez (President)</w:t>
      </w:r>
    </w:p>
    <w:p>
      <w:pPr>
        <w:pStyle w:val="ListBullet"/>
      </w:pPr>
      <w:r>
        <w:t>Tom Baker (Secretary)</w:t>
      </w:r>
    </w:p>
    <w:p>
      <w:pPr>
        <w:pStyle w:val="ListBullet"/>
      </w:pPr>
      <w:r>
        <w:t>Wei Chen (Treasurer)</w:t>
      </w:r>
    </w:p>
    <w:p>
      <w:pPr>
        <w:pStyle w:val="ListBullet"/>
      </w:pPr>
      <w:r>
        <w:t>Ruth Dixon</w:t>
      </w:r>
    </w:p>
    <w:p>
      <w:pPr>
        <w:pStyle w:val="ListBullet"/>
      </w:pPr>
      <w:r>
        <w:t>Paul Evans</w:t>
      </w:r>
    </w:p>
    <w:p>
      <w:pPr>
        <w:pStyle w:val="Heading2"/>
      </w:pPr>
      <w:r>
        <w:t>Treasurer's Report</w:t>
      </w:r>
    </w:p>
    <w:p>
      <w:r>
        <w:t>Dues collected to date: $395.00 of $600.00 owed. Total donations received this quarter: $955.00. Total expenses this quarter: $767.45. Full detail is in the Excel workbook; the summary below covers the categories most relevant to tonight's discussion.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Printing</w:t>
            </w:r>
          </w:p>
        </w:tc>
        <w:tc>
          <w:tcPr>
            <w:tcW w:type="dxa" w:w="4320"/>
          </w:tcPr>
          <w:p>
            <w:r>
              <w:t>$160.50</w:t>
            </w:r>
          </w:p>
        </w:tc>
      </w:tr>
      <w:tr>
        <w:tc>
          <w:tcPr>
            <w:tcW w:type="dxa" w:w="4320"/>
          </w:tcPr>
          <w:p>
            <w:r>
              <w:t>Refreshments</w:t>
            </w:r>
          </w:p>
        </w:tc>
        <w:tc>
          <w:tcPr>
            <w:tcW w:type="dxa" w:w="4320"/>
          </w:tcPr>
          <w:p>
            <w:r>
              <w:t>$162.95</w:t>
            </w:r>
          </w:p>
        </w:tc>
      </w:tr>
      <w:tr>
        <w:tc>
          <w:tcPr>
            <w:tcW w:type="dxa" w:w="4320"/>
          </w:tcPr>
          <w:p>
            <w:r>
              <w:t>Room rental</w:t>
            </w:r>
          </w:p>
        </w:tc>
        <w:tc>
          <w:tcPr>
            <w:tcW w:type="dxa" w:w="4320"/>
          </w:tcPr>
          <w:p>
            <w:r>
              <w:t>$300.00</w:t>
            </w:r>
          </w:p>
        </w:tc>
      </w:tr>
      <w:tr>
        <w:tc>
          <w:tcPr>
            <w:tcW w:type="dxa" w:w="4320"/>
          </w:tcPr>
          <w:p>
            <w:r>
              <w:t>Postage</w:t>
            </w:r>
          </w:p>
        </w:tc>
        <w:tc>
          <w:tcPr>
            <w:tcW w:type="dxa" w:w="4320"/>
          </w:tcPr>
          <w:p>
            <w:r>
              <w:t>$48.00</w:t>
            </w:r>
          </w:p>
        </w:tc>
      </w:tr>
      <w:tr>
        <w:tc>
          <w:tcPr>
            <w:tcW w:type="dxa" w:w="4320"/>
          </w:tcPr>
          <w:p>
            <w:r>
              <w:t>Website</w:t>
            </w:r>
          </w:p>
        </w:tc>
        <w:tc>
          <w:tcPr>
            <w:tcW w:type="dxa" w:w="4320"/>
          </w:tcPr>
          <w:p>
            <w:r>
              <w:t>$96.00</w:t>
            </w:r>
          </w:p>
        </w:tc>
      </w:tr>
    </w:tbl>
    <w:p/>
    <w:p>
      <w:pPr>
        <w:pStyle w:val="Heading2"/>
      </w:pPr>
      <w:r>
        <w:t>Action Items</w:t>
      </w:r>
    </w:p>
    <w:p>
      <w:pPr>
        <w:pStyle w:val="ListNumber"/>
      </w:pPr>
      <w:r>
        <w:t>Confirm insurance renewal date with the carrier</w:t>
      </w:r>
    </w:p>
    <w:p>
      <w:pPr>
        <w:pStyle w:val="ListNumber"/>
      </w:pPr>
      <w:r>
        <w:t>Follow up with members who still owe dues</w:t>
      </w:r>
    </w:p>
    <w:p>
      <w:pPr>
        <w:pStyle w:val="ListNumber"/>
      </w:pPr>
      <w:r>
        <w:t>Finalize the budget proposal for next year</w:t>
      </w:r>
    </w:p>
    <w:p/>
    <w:p>
      <w:r>
        <w:rPr>
          <w:rFonts w:ascii="Courier New" w:hAnsi="Courier New"/>
          <w:b/>
          <w:color w:val="555555"/>
          <w:sz w:val="32"/>
          <w:u w:val="single"/>
        </w:rPr>
        <w:t>Old Business</w:t>
      </w:r>
    </w:p>
    <w:p>
      <w:r>
        <w:t>No old business carried over from the previous meeting.</w:t>
      </w:r>
    </w:p>
    <w:p/>
    <w:p>
      <w:pPr>
        <w:pStyle w:val="Heading2"/>
      </w:pPr>
      <w:r>
        <w:t>Next Meeting</w:t>
      </w:r>
    </w:p>
    <w:p>
      <w:r>
        <w:t>Date and time to be confirmed by email.</w:t>
      </w:r>
    </w:p>
    <w:p>
      <w:r>
        <w:br w:type="page"/>
      </w:r>
    </w:p>
    <w:p>
      <w:pPr>
        <w:pStyle w:val="Heading1"/>
      </w:pPr>
      <w:r>
        <w:t>Appendix A: Committee Contacts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Committee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</w:tr>
      <w:tr>
        <w:tc>
          <w:tcPr>
            <w:tcW w:type="dxa" w:w="2880"/>
          </w:tcPr>
          <w:p>
            <w:r>
              <w:t>Luis Garcia</w:t>
            </w:r>
          </w:p>
        </w:tc>
        <w:tc>
          <w:tcPr>
            <w:tcW w:type="dxa" w:w="2880"/>
          </w:tcPr>
          <w:p>
            <w:r>
              <w:t>Fundraising</w:t>
            </w:r>
          </w:p>
        </w:tc>
        <w:tc>
          <w:tcPr>
            <w:tcW w:type="dxa" w:w="2880"/>
          </w:tcPr>
          <w:p>
            <w:r>
              <w:t>luis.garcia@example.org</w:t>
            </w:r>
          </w:p>
        </w:tc>
      </w:tr>
      <w:tr>
        <w:tc>
          <w:tcPr>
            <w:tcW w:type="dxa" w:w="2880"/>
          </w:tcPr>
          <w:p>
            <w:r>
              <w:t>Beth Hughes</w:t>
            </w:r>
          </w:p>
        </w:tc>
        <w:tc>
          <w:tcPr>
            <w:tcW w:type="dxa" w:w="2880"/>
          </w:tcPr>
          <w:p>
            <w:r>
              <w:t>Communications</w:t>
            </w:r>
          </w:p>
        </w:tc>
        <w:tc>
          <w:tcPr>
            <w:tcW w:type="dxa" w:w="2880"/>
          </w:tcPr>
          <w:p>
            <w:r>
              <w:t>beth.hughes@example.org</w:t>
            </w:r>
          </w:p>
        </w:tc>
      </w:tr>
      <w:tr>
        <w:tc>
          <w:tcPr>
            <w:tcW w:type="dxa" w:w="2880"/>
          </w:tcPr>
          <w:p>
            <w:r>
              <w:t>Sam Iqbal</w:t>
            </w:r>
          </w:p>
        </w:tc>
        <w:tc>
          <w:tcPr>
            <w:tcW w:type="dxa" w:w="2880"/>
          </w:tcPr>
          <w:p>
            <w:r>
              <w:t>Events</w:t>
            </w:r>
          </w:p>
        </w:tc>
        <w:tc>
          <w:tcPr>
            <w:tcW w:type="dxa" w:w="2880"/>
          </w:tcPr>
          <w:p>
            <w:r>
              <w:t>sam.iqbal@example.org</w:t>
            </w:r>
          </w:p>
        </w:tc>
      </w:tr>
    </w:tbl>
    <w:p/>
    <w:p>
      <w:pPr>
        <w:pStyle w:val="Heading2"/>
      </w:pPr>
      <w:r>
        <w:t>Notes</w:t>
      </w:r>
    </w:p>
    <w:p>
      <w:r>
        <w:t>Add any additional notes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