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09F6" w:rsidRDefault="00C20871" w:rsidP="008F6246">
      <w:pPr>
        <w:pStyle w:val="Section"/>
        <w:jc w:val="both"/>
      </w:pPr>
      <w:bookmarkStart w:id="0" w:name="_hde3bik3zpoy" w:colFirst="0" w:colLast="0"/>
      <w:bookmarkEnd w:id="0"/>
      <w:r>
        <w:t>Summary of Intent</w:t>
      </w:r>
    </w:p>
    <w:p w:rsidR="00C309F6" w:rsidRDefault="00A568A9" w:rsidP="008F6246">
      <w:pPr>
        <w:pStyle w:val="Paragraph"/>
        <w:jc w:val="both"/>
      </w:pPr>
      <w:r>
        <w:t xml:space="preserve">Plainly stated, we have outgrown our existing data tier.  We are non-scalable with respect to writes to the database, and business intelligence personnel must split their queries between the actual production monolith and Redshift, which is connected to our raw production data by the tenuous and overworked </w:t>
      </w:r>
      <w:proofErr w:type="spellStart"/>
      <w:r>
        <w:t>Matillion</w:t>
      </w:r>
      <w:proofErr w:type="spellEnd"/>
      <w:r>
        <w:t xml:space="preserve"> instance.</w:t>
      </w:r>
    </w:p>
    <w:p w:rsidR="00A568A9" w:rsidRDefault="00A568A9" w:rsidP="008F6246">
      <w:pPr>
        <w:jc w:val="both"/>
      </w:pPr>
    </w:p>
    <w:p w:rsidR="00A568A9" w:rsidRDefault="00A568A9" w:rsidP="008F6246">
      <w:pPr>
        <w:jc w:val="both"/>
      </w:pPr>
      <w:r>
        <w:t>The goal of this proposal is to demonstrate that with reasonable capital expenditure the efficiency and horizontal/vertical scalability of our data layer can be accomplished.</w:t>
      </w:r>
    </w:p>
    <w:p w:rsidR="00C309F6" w:rsidRDefault="004F696C" w:rsidP="008F6246">
      <w:pPr>
        <w:pStyle w:val="Heading2"/>
        <w:spacing w:before="240"/>
        <w:jc w:val="both"/>
      </w:pPr>
      <w:bookmarkStart w:id="1" w:name="_l2b04d5s20ek" w:colFirst="0" w:colLast="0"/>
      <w:bookmarkEnd w:id="1"/>
      <w:r>
        <w:t>Impact: Benefits and Opportunities</w:t>
      </w:r>
    </w:p>
    <w:p w:rsidR="008F6246" w:rsidRPr="008F6246" w:rsidRDefault="008F6246" w:rsidP="008F6246">
      <w:pPr>
        <w:jc w:val="both"/>
      </w:pPr>
      <w:r>
        <w:t xml:space="preserve">The overriding concern is that we are unable to scale at present.  Our production data tier has exactly </w:t>
      </w:r>
      <w:r>
        <w:rPr>
          <w:b/>
          <w:i/>
        </w:rPr>
        <w:t>one</w:t>
      </w:r>
      <w:r>
        <w:t xml:space="preserve"> </w:t>
      </w:r>
      <w:proofErr w:type="spellStart"/>
      <w:r>
        <w:t>entrypoint</w:t>
      </w:r>
      <w:proofErr w:type="spellEnd"/>
      <w:r>
        <w:t xml:space="preserve"> for data, the production master.  This already has led to deadlocks, resource contention, and failed operations, not only for our backend processes, but for the customer-facing website.  This must be solved.</w:t>
      </w:r>
    </w:p>
    <w:p w:rsidR="008F6246" w:rsidRDefault="008F6246" w:rsidP="008F6246">
      <w:pPr>
        <w:jc w:val="both"/>
      </w:pPr>
    </w:p>
    <w:p w:rsidR="0073196A" w:rsidRDefault="0073196A" w:rsidP="008F6246">
      <w:pPr>
        <w:jc w:val="both"/>
      </w:pPr>
      <w:r>
        <w:t>The guiding principle in creating any serviceable data architecture is “divide and conquer.” Our current control and tuning variables are very coarse.  By intelligently apportioning our resources within the data layer by task type and usage, not only will pressure be relieved on existing services, but we will gain the ability to tune</w:t>
      </w:r>
      <w:r w:rsidR="00733B5D">
        <w:t xml:space="preserve"> in a very granular manner</w:t>
      </w:r>
      <w:r>
        <w:t xml:space="preserve"> each segment to align with the class of functionality being required.  Therefore, the objectives of this refactoring are thus:</w:t>
      </w:r>
    </w:p>
    <w:p w:rsidR="004F696C" w:rsidRDefault="004F696C" w:rsidP="008F6246">
      <w:pPr>
        <w:jc w:val="both"/>
      </w:pPr>
    </w:p>
    <w:p w:rsidR="0073196A" w:rsidRDefault="0073196A" w:rsidP="008F6246">
      <w:pPr>
        <w:pStyle w:val="ListParagraph"/>
        <w:numPr>
          <w:ilvl w:val="0"/>
          <w:numId w:val="4"/>
        </w:numPr>
        <w:jc w:val="both"/>
      </w:pPr>
      <w:r>
        <w:t>Segment the data layer by purpose</w:t>
      </w:r>
      <w:r w:rsidR="004F696C">
        <w:t>;</w:t>
      </w:r>
    </w:p>
    <w:p w:rsidR="0073196A" w:rsidRDefault="0073196A" w:rsidP="008F6246">
      <w:pPr>
        <w:pStyle w:val="ListParagraph"/>
        <w:numPr>
          <w:ilvl w:val="0"/>
          <w:numId w:val="4"/>
        </w:numPr>
        <w:jc w:val="both"/>
      </w:pPr>
      <w:r>
        <w:t>Tune each sub-layer based on usage</w:t>
      </w:r>
      <w:r w:rsidR="004F696C">
        <w:t>;</w:t>
      </w:r>
    </w:p>
    <w:p w:rsidR="0073196A" w:rsidRDefault="0073196A" w:rsidP="008F6246">
      <w:pPr>
        <w:pStyle w:val="ListParagraph"/>
        <w:numPr>
          <w:ilvl w:val="0"/>
          <w:numId w:val="4"/>
        </w:numPr>
        <w:jc w:val="both"/>
      </w:pPr>
      <w:r>
        <w:t>Take a giant leap towards moving from a data lake to a true data warehouse</w:t>
      </w:r>
      <w:r w:rsidR="004F696C">
        <w:t>;</w:t>
      </w:r>
    </w:p>
    <w:p w:rsidR="0073196A" w:rsidRDefault="0073196A" w:rsidP="008F6246">
      <w:pPr>
        <w:pStyle w:val="ListParagraph"/>
        <w:numPr>
          <w:ilvl w:val="0"/>
          <w:numId w:val="4"/>
        </w:numPr>
        <w:jc w:val="both"/>
      </w:pPr>
      <w:r>
        <w:t>Pre-summarizing our big data into the format needed for BI without belaboring our customer-facing databases as well as not asking more of our ETL processes than can reasonably be expected</w:t>
      </w:r>
      <w:r w:rsidR="004F696C">
        <w:t>;</w:t>
      </w:r>
    </w:p>
    <w:p w:rsidR="0073196A" w:rsidRDefault="0073196A" w:rsidP="008F6246">
      <w:pPr>
        <w:pStyle w:val="ListParagraph"/>
        <w:numPr>
          <w:ilvl w:val="0"/>
          <w:numId w:val="4"/>
        </w:numPr>
        <w:jc w:val="both"/>
      </w:pPr>
      <w:r>
        <w:t>Amplify security practices surrounding our data into a more protected-by-design design</w:t>
      </w:r>
      <w:r w:rsidR="004F696C">
        <w:t>.</w:t>
      </w:r>
    </w:p>
    <w:p w:rsidR="004F696C" w:rsidRDefault="004F696C" w:rsidP="008F6246">
      <w:pPr>
        <w:jc w:val="both"/>
      </w:pPr>
    </w:p>
    <w:p w:rsidR="004F696C" w:rsidRDefault="004F696C" w:rsidP="008F6246">
      <w:pPr>
        <w:jc w:val="both"/>
      </w:pPr>
      <w:r>
        <w:t>Conservatively stated, this new blueprint would increase performance by at least an order of magnitude.</w:t>
      </w:r>
    </w:p>
    <w:p w:rsidR="004F696C" w:rsidRDefault="004F696C" w:rsidP="008F6246">
      <w:pPr>
        <w:pStyle w:val="Section"/>
        <w:jc w:val="both"/>
      </w:pPr>
      <w:r>
        <w:t>Impact: Costs, Risks, and Constraints</w:t>
      </w:r>
    </w:p>
    <w:p w:rsidR="004F696C" w:rsidRDefault="00D62C38" w:rsidP="008F6246">
      <w:pPr>
        <w:jc w:val="both"/>
      </w:pPr>
      <w:r>
        <w:t>The obvious pain point in opening this approach is the overlap cost.  At this point, approval has not been granted for a proof of concept, which could be done with a minimum of a 3-node Aurora cluster and a single EC2 instance with EBS as the storage medium.  During this POC timeframe, however, the expenditure will qualify as sunk cost.</w:t>
      </w:r>
      <w:r w:rsidR="008F6246">
        <w:t xml:space="preserve">  Appendix A lists the cost per month for a minimal POC environment; Appendix B is a rough estimate of yearly costs using various combinations of reserved and on-demand instances.</w:t>
      </w:r>
    </w:p>
    <w:p w:rsidR="008F6246" w:rsidRDefault="008F6246" w:rsidP="008F6246">
      <w:pPr>
        <w:jc w:val="both"/>
      </w:pPr>
    </w:p>
    <w:p w:rsidR="008F6246" w:rsidRDefault="008F6246" w:rsidP="008F6246">
      <w:pPr>
        <w:jc w:val="both"/>
      </w:pPr>
      <w:r>
        <w:t>With respect to risks, as mentioned above, the greater risk to attempt to inveigle and cajole our current systems as we go forward.  The truism of any data migration</w:t>
      </w:r>
      <w:r w:rsidRPr="008F6246">
        <w:t xml:space="preserve"> </w:t>
      </w:r>
      <w:r>
        <w:t xml:space="preserve">procedure is that the larger the </w:t>
      </w:r>
      <w:proofErr w:type="spellStart"/>
      <w:r>
        <w:t>datastore</w:t>
      </w:r>
      <w:proofErr w:type="spellEnd"/>
      <w:r>
        <w:t>, the more difficult and time-consuming the maneuver becomes.</w:t>
      </w:r>
    </w:p>
    <w:p w:rsidR="008F6246" w:rsidRDefault="008F6246" w:rsidP="008F6246">
      <w:pPr>
        <w:jc w:val="both"/>
      </w:pPr>
    </w:p>
    <w:p w:rsidR="008F6246" w:rsidRDefault="008F6246" w:rsidP="008F6246">
      <w:pPr>
        <w:jc w:val="both"/>
      </w:pPr>
      <w:r>
        <w:t xml:space="preserve">The cold fact is that we must do something to remain nimble and scalable.  What is outlined in this document is a proven method to accomplish this with a minimum of expenditure and utilizing a stepwise process to ameliorate the impact to production systems. </w:t>
      </w:r>
    </w:p>
    <w:p w:rsidR="00C309F6" w:rsidRDefault="004F696C" w:rsidP="008F6246">
      <w:pPr>
        <w:pStyle w:val="Heading2"/>
        <w:spacing w:after="0"/>
        <w:jc w:val="both"/>
      </w:pPr>
      <w:bookmarkStart w:id="2" w:name="_wktboyh4rrd2" w:colFirst="0" w:colLast="0"/>
      <w:bookmarkEnd w:id="2"/>
      <w:r>
        <w:lastRenderedPageBreak/>
        <w:t>Evaluation and Measurement</w:t>
      </w:r>
    </w:p>
    <w:p w:rsidR="001046B7" w:rsidRDefault="008F6246" w:rsidP="008F6246">
      <w:pPr>
        <w:jc w:val="both"/>
      </w:pPr>
      <w:bookmarkStart w:id="3" w:name="_3x00h7wdz694" w:colFirst="0" w:colLast="0"/>
      <w:bookmarkStart w:id="4" w:name="_4jjt07y3ouck" w:colFirst="0" w:colLast="0"/>
      <w:bookmarkEnd w:id="3"/>
      <w:bookmarkEnd w:id="4"/>
      <w:r>
        <w:t>Given that the proof-of-concept environment is available, testing and evaluation would progress in the following manner:</w:t>
      </w:r>
    </w:p>
    <w:p w:rsidR="008F6246" w:rsidRDefault="008F6246" w:rsidP="008F6246">
      <w:pPr>
        <w:jc w:val="both"/>
      </w:pPr>
    </w:p>
    <w:p w:rsidR="008F6246" w:rsidRDefault="008F6246" w:rsidP="008F6246">
      <w:pPr>
        <w:pStyle w:val="ListParagraph"/>
        <w:numPr>
          <w:ilvl w:val="0"/>
          <w:numId w:val="6"/>
        </w:numPr>
        <w:jc w:val="both"/>
      </w:pPr>
      <w:r>
        <w:t xml:space="preserve">Capture a time period’s worth of production queries while executing a </w:t>
      </w:r>
      <w:proofErr w:type="spellStart"/>
      <w:r>
        <w:t>JetProfiler</w:t>
      </w:r>
      <w:proofErr w:type="spellEnd"/>
      <w:r>
        <w:t xml:space="preserve"> analysis on the production master.</w:t>
      </w:r>
    </w:p>
    <w:p w:rsidR="008F6246" w:rsidRDefault="008F6246" w:rsidP="008F6246">
      <w:pPr>
        <w:pStyle w:val="ListParagraph"/>
        <w:numPr>
          <w:ilvl w:val="0"/>
          <w:numId w:val="6"/>
        </w:numPr>
        <w:jc w:val="both"/>
      </w:pPr>
      <w:r>
        <w:t>Replay these queries on the POC environment segmented according to the categories outlined by purpose.</w:t>
      </w:r>
    </w:p>
    <w:p w:rsidR="008F6246" w:rsidRDefault="008F6246" w:rsidP="008F6246">
      <w:pPr>
        <w:pStyle w:val="ListParagraph"/>
        <w:numPr>
          <w:ilvl w:val="0"/>
          <w:numId w:val="6"/>
        </w:numPr>
        <w:jc w:val="both"/>
      </w:pPr>
      <w:r>
        <w:t>Compare runtimes, bottlenecks, lock wait times, number of timeouts, number of resource contention events.</w:t>
      </w:r>
    </w:p>
    <w:p w:rsidR="008F6246" w:rsidRDefault="008F6246" w:rsidP="008F6246">
      <w:pPr>
        <w:jc w:val="both"/>
      </w:pPr>
    </w:p>
    <w:p w:rsidR="008F6246" w:rsidRDefault="008F6246" w:rsidP="008F6246">
      <w:pPr>
        <w:jc w:val="both"/>
      </w:pPr>
      <w:r>
        <w:t>With even this minimal amount of analytic data, the relative benefit or non-benefit will be immediately apparent.</w:t>
      </w:r>
    </w:p>
    <w:p w:rsidR="00C309F6" w:rsidRDefault="00C20871" w:rsidP="008F6246">
      <w:pPr>
        <w:pStyle w:val="Heading2"/>
        <w:jc w:val="both"/>
      </w:pPr>
      <w:r>
        <w:t>Out of Scope</w:t>
      </w:r>
      <w:r w:rsidR="004F696C">
        <w:t xml:space="preserve"> activities</w:t>
      </w:r>
    </w:p>
    <w:p w:rsidR="00C309F6" w:rsidRDefault="001046B7" w:rsidP="008F6246">
      <w:pPr>
        <w:numPr>
          <w:ilvl w:val="0"/>
          <w:numId w:val="1"/>
        </w:numPr>
        <w:jc w:val="both"/>
      </w:pPr>
      <w:r>
        <w:t>This proposal deals exclusively with the overall architecture; individual schemata, tables, columns, optimization, etc., are not covered within this scope.</w:t>
      </w:r>
    </w:p>
    <w:p w:rsidR="00C309F6" w:rsidRDefault="001046B7" w:rsidP="008F6246">
      <w:pPr>
        <w:numPr>
          <w:ilvl w:val="0"/>
          <w:numId w:val="1"/>
        </w:numPr>
        <w:jc w:val="both"/>
      </w:pPr>
      <w:r>
        <w:t xml:space="preserve">While connections from external applications will be </w:t>
      </w:r>
      <w:proofErr w:type="gramStart"/>
      <w:r>
        <w:t>created/tested</w:t>
      </w:r>
      <w:proofErr w:type="gramEnd"/>
      <w:r>
        <w:t>, adding new applications to the BI or ETL list is not.</w:t>
      </w:r>
    </w:p>
    <w:p w:rsidR="00C309F6" w:rsidRDefault="001046B7" w:rsidP="008F6246">
      <w:pPr>
        <w:numPr>
          <w:ilvl w:val="0"/>
          <w:numId w:val="1"/>
        </w:numPr>
        <w:jc w:val="both"/>
      </w:pPr>
      <w:r>
        <w:t xml:space="preserve">Added security will be a value-added part of this </w:t>
      </w:r>
      <w:r w:rsidR="00283FF6">
        <w:t>project;</w:t>
      </w:r>
      <w:r>
        <w:t xml:space="preserve"> however, this does not entail a full-scale security</w:t>
      </w:r>
      <w:r w:rsidR="00003109">
        <w:t xml:space="preserve"> audit of users/permissions.</w:t>
      </w:r>
    </w:p>
    <w:p w:rsidR="008F6246" w:rsidRDefault="008F6246">
      <w:pPr>
        <w:rPr>
          <w:rFonts w:ascii="Calibri" w:eastAsia="Calibri" w:hAnsi="Calibri" w:cs="Calibri"/>
          <w:b/>
          <w:color w:val="434343"/>
          <w:sz w:val="28"/>
          <w:szCs w:val="28"/>
        </w:rPr>
      </w:pPr>
      <w:bookmarkStart w:id="5" w:name="_64i2fh71go7y" w:colFirst="0" w:colLast="0"/>
      <w:bookmarkEnd w:id="5"/>
      <w:r>
        <w:br w:type="page"/>
      </w:r>
    </w:p>
    <w:p w:rsidR="00C309F6" w:rsidRDefault="004F696C" w:rsidP="008F6246">
      <w:pPr>
        <w:pStyle w:val="Heading2"/>
        <w:jc w:val="both"/>
      </w:pPr>
      <w:r>
        <w:lastRenderedPageBreak/>
        <w:t>Project Overview</w:t>
      </w:r>
    </w:p>
    <w:p w:rsidR="004F696C" w:rsidRDefault="004F696C" w:rsidP="008F6246">
      <w:pPr>
        <w:jc w:val="both"/>
      </w:pPr>
      <w:r>
        <w:t>The current simplified view of our persistence layer can be visualized thus:</w:t>
      </w:r>
    </w:p>
    <w:p w:rsidR="00003109" w:rsidRDefault="00003109" w:rsidP="008F6246">
      <w:pPr>
        <w:jc w:val="both"/>
      </w:pPr>
    </w:p>
    <w:p w:rsidR="004F696C" w:rsidRDefault="00A256E0" w:rsidP="008F6246">
      <w:pPr>
        <w:jc w:val="both"/>
      </w:pPr>
      <w:r>
        <w:rPr>
          <w:noProof/>
          <w:lang w:val="en-US"/>
        </w:rPr>
        <w:drawing>
          <wp:inline distT="0" distB="0" distL="0" distR="0" wp14:anchorId="15E090A7" wp14:editId="631A1861">
            <wp:extent cx="6400800" cy="5247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_perslayer.png"/>
                    <pic:cNvPicPr/>
                  </pic:nvPicPr>
                  <pic:blipFill>
                    <a:blip r:embed="rId8">
                      <a:extLst>
                        <a:ext uri="{28A0092B-C50C-407E-A947-70E740481C1C}">
                          <a14:useLocalDpi xmlns:a14="http://schemas.microsoft.com/office/drawing/2010/main" val="0"/>
                        </a:ext>
                      </a:extLst>
                    </a:blip>
                    <a:stretch>
                      <a:fillRect/>
                    </a:stretch>
                  </pic:blipFill>
                  <pic:spPr>
                    <a:xfrm>
                      <a:off x="0" y="0"/>
                      <a:ext cx="6400800" cy="5247640"/>
                    </a:xfrm>
                    <a:prstGeom prst="rect">
                      <a:avLst/>
                    </a:prstGeom>
                  </pic:spPr>
                </pic:pic>
              </a:graphicData>
            </a:graphic>
          </wp:inline>
        </w:drawing>
      </w:r>
    </w:p>
    <w:p w:rsidR="00877349" w:rsidRPr="00877349" w:rsidRDefault="00877349" w:rsidP="008F6246">
      <w:pPr>
        <w:jc w:val="both"/>
        <w:rPr>
          <w:rStyle w:val="Emphasis"/>
        </w:rPr>
      </w:pPr>
      <w:proofErr w:type="gramStart"/>
      <w:r w:rsidRPr="00877349">
        <w:rPr>
          <w:rStyle w:val="Emphasis"/>
        </w:rPr>
        <w:t>Figure 1.</w:t>
      </w:r>
      <w:proofErr w:type="gramEnd"/>
      <w:r w:rsidRPr="00877349">
        <w:rPr>
          <w:rStyle w:val="Emphasis"/>
        </w:rPr>
        <w:t xml:space="preserve">  Current persistence layer architecture</w:t>
      </w:r>
    </w:p>
    <w:p w:rsidR="004F696C" w:rsidRPr="004F696C" w:rsidRDefault="004F696C" w:rsidP="008F6246">
      <w:pPr>
        <w:jc w:val="both"/>
      </w:pPr>
    </w:p>
    <w:p w:rsidR="00C309F6" w:rsidRDefault="00C43B22" w:rsidP="008F6246">
      <w:pPr>
        <w:pStyle w:val="Paragraph"/>
        <w:jc w:val="both"/>
      </w:pPr>
      <w:bookmarkStart w:id="6" w:name="_br4dsdv5czy" w:colFirst="0" w:colLast="0"/>
      <w:bookmarkStart w:id="7" w:name="_4f4fwruk2hjv" w:colFirst="0" w:colLast="0"/>
      <w:bookmarkEnd w:id="6"/>
      <w:bookmarkEnd w:id="7"/>
      <w:r>
        <w:t xml:space="preserve">If this seems a bit busy, that would be because it </w:t>
      </w:r>
      <w:r>
        <w:rPr>
          <w:i/>
        </w:rPr>
        <w:t>is</w:t>
      </w:r>
      <w:r>
        <w:t xml:space="preserve">.  As things stand, the </w:t>
      </w:r>
      <w:r w:rsidR="003D11C9">
        <w:t>production</w:t>
      </w:r>
      <w:r>
        <w:t xml:space="preserve"> monolith—our revenue-bearing database</w:t>
      </w:r>
      <w:r w:rsidR="003D11C9">
        <w:t xml:space="preserve">—supports all the following, </w:t>
      </w:r>
      <w:r w:rsidR="003D11C9">
        <w:rPr>
          <w:i/>
        </w:rPr>
        <w:t>directly connected</w:t>
      </w:r>
      <w:r w:rsidR="003D11C9">
        <w:t xml:space="preserve"> to the same system which supports our business:</w:t>
      </w:r>
    </w:p>
    <w:p w:rsidR="00A256E0" w:rsidRDefault="00A256E0" w:rsidP="008F6246">
      <w:pPr>
        <w:pStyle w:val="Paragraph"/>
        <w:jc w:val="both"/>
      </w:pPr>
    </w:p>
    <w:p w:rsidR="003D11C9" w:rsidRDefault="003D11C9" w:rsidP="008F6246">
      <w:pPr>
        <w:pStyle w:val="Paragraph"/>
        <w:numPr>
          <w:ilvl w:val="0"/>
          <w:numId w:val="5"/>
        </w:numPr>
        <w:jc w:val="both"/>
      </w:pPr>
      <w:r>
        <w:t>Production websites</w:t>
      </w:r>
    </w:p>
    <w:p w:rsidR="003D11C9" w:rsidRDefault="003D11C9" w:rsidP="008F6246">
      <w:pPr>
        <w:pStyle w:val="Paragraph"/>
        <w:numPr>
          <w:ilvl w:val="0"/>
          <w:numId w:val="5"/>
        </w:numPr>
        <w:jc w:val="both"/>
      </w:pPr>
      <w:r>
        <w:t>API endpoints</w:t>
      </w:r>
    </w:p>
    <w:p w:rsidR="003D11C9" w:rsidRDefault="003D11C9" w:rsidP="008F6246">
      <w:pPr>
        <w:pStyle w:val="Paragraph"/>
        <w:numPr>
          <w:ilvl w:val="0"/>
          <w:numId w:val="5"/>
        </w:numPr>
        <w:jc w:val="both"/>
      </w:pPr>
      <w:proofErr w:type="spellStart"/>
      <w:r>
        <w:t>Microservice</w:t>
      </w:r>
      <w:proofErr w:type="spellEnd"/>
      <w:r>
        <w:t xml:space="preserve"> endpoints</w:t>
      </w:r>
    </w:p>
    <w:p w:rsidR="003D11C9" w:rsidRDefault="003D11C9" w:rsidP="008F6246">
      <w:pPr>
        <w:pStyle w:val="Paragraph"/>
        <w:numPr>
          <w:ilvl w:val="0"/>
          <w:numId w:val="5"/>
        </w:numPr>
        <w:jc w:val="both"/>
      </w:pPr>
      <w:r>
        <w:t>The Admin management tools</w:t>
      </w:r>
    </w:p>
    <w:p w:rsidR="003D11C9" w:rsidRDefault="003D11C9" w:rsidP="008F6246">
      <w:pPr>
        <w:pStyle w:val="Paragraph"/>
        <w:numPr>
          <w:ilvl w:val="0"/>
          <w:numId w:val="5"/>
        </w:numPr>
        <w:jc w:val="both"/>
      </w:pPr>
      <w:r>
        <w:t>Ad-hoc user queries</w:t>
      </w:r>
    </w:p>
    <w:p w:rsidR="003D11C9" w:rsidRDefault="003D11C9" w:rsidP="008F6246">
      <w:pPr>
        <w:pStyle w:val="Paragraph"/>
        <w:numPr>
          <w:ilvl w:val="0"/>
          <w:numId w:val="5"/>
        </w:numPr>
        <w:jc w:val="both"/>
      </w:pPr>
      <w:r>
        <w:t>Business intelligence queries</w:t>
      </w:r>
    </w:p>
    <w:p w:rsidR="003D11C9" w:rsidRDefault="003D11C9" w:rsidP="008F6246">
      <w:pPr>
        <w:pStyle w:val="Paragraph"/>
        <w:numPr>
          <w:ilvl w:val="0"/>
          <w:numId w:val="5"/>
        </w:numPr>
        <w:jc w:val="both"/>
      </w:pPr>
      <w:r>
        <w:t xml:space="preserve">Directly-connected ETL </w:t>
      </w:r>
    </w:p>
    <w:p w:rsidR="00A256E0" w:rsidRPr="003D11C9" w:rsidRDefault="00A256E0" w:rsidP="008F6246">
      <w:pPr>
        <w:pStyle w:val="Paragraph"/>
        <w:jc w:val="both"/>
      </w:pPr>
    </w:p>
    <w:p w:rsidR="00C309F6" w:rsidRDefault="00A256E0" w:rsidP="008F6246">
      <w:pPr>
        <w:jc w:val="both"/>
      </w:pPr>
      <w:r>
        <w:lastRenderedPageBreak/>
        <w:t xml:space="preserve">While this structure served well early in the company’s existence, the number of properties under management, </w:t>
      </w:r>
      <w:proofErr w:type="spellStart"/>
      <w:r>
        <w:t>datapoints</w:t>
      </w:r>
      <w:proofErr w:type="spellEnd"/>
      <w:r>
        <w:t xml:space="preserve"> collected for each property, customer base, and dozens of other discrete points are now stored in our database.  We do not yet approach the industry buzzword of “big data,” but we are close, and as the enterprise continues to expand, our necessary data, even for bare-bones business intelligence, will continue to grow.</w:t>
      </w:r>
    </w:p>
    <w:p w:rsidR="001046B7" w:rsidRDefault="001046B7" w:rsidP="008F6246">
      <w:pPr>
        <w:jc w:val="both"/>
      </w:pPr>
    </w:p>
    <w:p w:rsidR="00A256E0" w:rsidRDefault="00A256E0" w:rsidP="008F6246">
      <w:pPr>
        <w:jc w:val="both"/>
      </w:pPr>
      <w:r>
        <w:t>It is therefore common sense to ensure that as much of our data is prepped for business consumption in a straightforward, modular, scalable, and tunable way.  The current configuration simply isn’t built in this fashion.  However, with a rational, lucid, and stepwise progression, this can be accomplished.</w:t>
      </w:r>
    </w:p>
    <w:p w:rsidR="00A256E0" w:rsidRDefault="00A256E0" w:rsidP="008F6246">
      <w:pPr>
        <w:jc w:val="both"/>
      </w:pPr>
    </w:p>
    <w:p w:rsidR="00A256E0" w:rsidRDefault="00822AAD" w:rsidP="008F6246">
      <w:pPr>
        <w:jc w:val="both"/>
      </w:pPr>
      <w:r>
        <w:rPr>
          <w:rFonts w:ascii="Source Sans Pro" w:eastAsia="Source Sans Pro" w:hAnsi="Source Sans Pro" w:cs="Source Sans Pro"/>
          <w:noProof/>
          <w:lang w:val="en-US"/>
        </w:rPr>
        <w:drawing>
          <wp:anchor distT="0" distB="0" distL="114300" distR="114300" simplePos="0" relativeHeight="251658240" behindDoc="1" locked="0" layoutInCell="1" allowOverlap="1" wp14:anchorId="7B26268A" wp14:editId="01A16C28">
            <wp:simplePos x="0" y="0"/>
            <wp:positionH relativeFrom="column">
              <wp:posOffset>-276225</wp:posOffset>
            </wp:positionH>
            <wp:positionV relativeFrom="paragraph">
              <wp:posOffset>261620</wp:posOffset>
            </wp:positionV>
            <wp:extent cx="6947535" cy="5629275"/>
            <wp:effectExtent l="0" t="0" r="5715" b="9525"/>
            <wp:wrapTight wrapText="bothSides">
              <wp:wrapPolygon edited="0">
                <wp:start x="0" y="0"/>
                <wp:lineTo x="0" y="21563"/>
                <wp:lineTo x="21559" y="21563"/>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DataArch_20190321.png"/>
                    <pic:cNvPicPr/>
                  </pic:nvPicPr>
                  <pic:blipFill>
                    <a:blip r:embed="rId9">
                      <a:extLst>
                        <a:ext uri="{28A0092B-C50C-407E-A947-70E740481C1C}">
                          <a14:useLocalDpi xmlns:a14="http://schemas.microsoft.com/office/drawing/2010/main" val="0"/>
                        </a:ext>
                      </a:extLst>
                    </a:blip>
                    <a:stretch>
                      <a:fillRect/>
                    </a:stretch>
                  </pic:blipFill>
                  <pic:spPr>
                    <a:xfrm>
                      <a:off x="0" y="0"/>
                      <a:ext cx="6947535" cy="5629275"/>
                    </a:xfrm>
                    <a:prstGeom prst="rect">
                      <a:avLst/>
                    </a:prstGeom>
                  </pic:spPr>
                </pic:pic>
              </a:graphicData>
            </a:graphic>
            <wp14:sizeRelH relativeFrom="page">
              <wp14:pctWidth>0</wp14:pctWidth>
            </wp14:sizeRelH>
            <wp14:sizeRelV relativeFrom="page">
              <wp14:pctHeight>0</wp14:pctHeight>
            </wp14:sizeRelV>
          </wp:anchor>
        </w:drawing>
      </w:r>
      <w:r w:rsidR="000B44A5">
        <w:t>Here is how the new architecture can be visualized:</w:t>
      </w:r>
    </w:p>
    <w:p w:rsidR="000B44A5" w:rsidRPr="00877349" w:rsidRDefault="00877349" w:rsidP="008F6246">
      <w:pPr>
        <w:jc w:val="both"/>
        <w:rPr>
          <w:rStyle w:val="Emphasis"/>
        </w:rPr>
      </w:pPr>
      <w:proofErr w:type="gramStart"/>
      <w:r w:rsidRPr="00877349">
        <w:rPr>
          <w:rStyle w:val="Emphasis"/>
        </w:rPr>
        <w:t>Figure 2.</w:t>
      </w:r>
      <w:proofErr w:type="gramEnd"/>
      <w:r w:rsidRPr="00877349">
        <w:rPr>
          <w:rStyle w:val="Emphasis"/>
        </w:rPr>
        <w:t xml:space="preserve">  Projected persistence layer segmentation by purpose</w:t>
      </w:r>
    </w:p>
    <w:p w:rsidR="00C309F6" w:rsidRDefault="00C309F6" w:rsidP="008F6246">
      <w:pPr>
        <w:jc w:val="both"/>
        <w:rPr>
          <w:rFonts w:ascii="Source Sans Pro" w:eastAsia="Source Sans Pro" w:hAnsi="Source Sans Pro" w:cs="Source Sans Pro"/>
        </w:rPr>
      </w:pPr>
      <w:bookmarkStart w:id="8" w:name="_3ibsiabmmsio" w:colFirst="0" w:colLast="0"/>
      <w:bookmarkEnd w:id="8"/>
    </w:p>
    <w:p w:rsidR="00C309F6" w:rsidRDefault="008F6246" w:rsidP="008F6246">
      <w:pPr>
        <w:pStyle w:val="Section"/>
        <w:jc w:val="both"/>
      </w:pPr>
      <w:r>
        <w:lastRenderedPageBreak/>
        <w:t>Recommendations</w:t>
      </w:r>
    </w:p>
    <w:p w:rsidR="008F6246" w:rsidRDefault="008F6246" w:rsidP="008F6246">
      <w:pPr>
        <w:jc w:val="both"/>
      </w:pPr>
      <w:r>
        <w:t xml:space="preserve">My findings indicate that a POC is needed without delay to begin true evaluation of this blueprint.  To begin, a three-node Aurora cluster and a suitably sized EC2 server with </w:t>
      </w:r>
      <w:proofErr w:type="gramStart"/>
      <w:r>
        <w:t>an EBS</w:t>
      </w:r>
      <w:proofErr w:type="gramEnd"/>
      <w:r>
        <w:t xml:space="preserve"> storage backend would be sufficient.  This will allow initial load testing to execute as well as further demonstrating that offloading the highly-relational </w:t>
      </w:r>
      <w:proofErr w:type="spellStart"/>
      <w:r>
        <w:t>Matillion</w:t>
      </w:r>
      <w:proofErr w:type="spellEnd"/>
      <w:r>
        <w:t xml:space="preserve"> jobs which cause Redshift to churn for very long runtimes will execute much more efficiently in a relational database.  </w:t>
      </w:r>
    </w:p>
    <w:p w:rsidR="008F6246" w:rsidRDefault="008F6246" w:rsidP="008F6246">
      <w:pPr>
        <w:jc w:val="both"/>
      </w:pPr>
    </w:p>
    <w:p w:rsidR="008F6246" w:rsidRDefault="008F6246" w:rsidP="008F6246">
      <w:pPr>
        <w:jc w:val="both"/>
      </w:pPr>
      <w:r w:rsidRPr="008F6246">
        <w:rPr>
          <w:i/>
        </w:rPr>
        <w:t xml:space="preserve">(Note:  One particular BI job that had been taking between 15 and 20 minutes on Redshift was converted to a Jenkins periodic job on the production master earlier this week.  On </w:t>
      </w:r>
      <w:proofErr w:type="spellStart"/>
      <w:r w:rsidRPr="008F6246">
        <w:rPr>
          <w:i/>
        </w:rPr>
        <w:t>MariaDB</w:t>
      </w:r>
      <w:proofErr w:type="spellEnd"/>
      <w:r w:rsidRPr="008F6246">
        <w:rPr>
          <w:i/>
        </w:rPr>
        <w:t>, it takes between 6 and 8 seconds.</w:t>
      </w:r>
      <w:r>
        <w:rPr>
          <w:i/>
        </w:rPr>
        <w:t xml:space="preserve">  All the </w:t>
      </w:r>
      <w:proofErr w:type="spellStart"/>
      <w:r>
        <w:rPr>
          <w:i/>
        </w:rPr>
        <w:t>Matillion</w:t>
      </w:r>
      <w:proofErr w:type="spellEnd"/>
      <w:r>
        <w:rPr>
          <w:i/>
        </w:rPr>
        <w:t xml:space="preserve"> job now has to do is pull the resultant summary table straight into Redshift, which occurs in 3 seconds or less.</w:t>
      </w:r>
      <w:r w:rsidRPr="008F6246">
        <w:rPr>
          <w:i/>
        </w:rPr>
        <w:t>)</w:t>
      </w:r>
    </w:p>
    <w:p w:rsidR="008F6246" w:rsidRDefault="008F6246" w:rsidP="008F6246">
      <w:pPr>
        <w:jc w:val="both"/>
      </w:pPr>
    </w:p>
    <w:p w:rsidR="008F6246" w:rsidRDefault="008F6246" w:rsidP="008F6246">
      <w:pPr>
        <w:jc w:val="both"/>
      </w:pPr>
      <w:r>
        <w:t xml:space="preserve">Once results from this first step have been appraised, the next step would be to add two more servers to the Transform layer, </w:t>
      </w:r>
      <w:proofErr w:type="spellStart"/>
      <w:r>
        <w:t>mimicing</w:t>
      </w:r>
      <w:proofErr w:type="spellEnd"/>
      <w:r>
        <w:t xml:space="preserve"> the configuration of the existing EC2/EBS node.  At this point, we have the working bones of the new production system, and we can begin discussing timelines.</w:t>
      </w:r>
    </w:p>
    <w:p w:rsidR="008F6246" w:rsidRDefault="008F6246" w:rsidP="008F6246">
      <w:pPr>
        <w:jc w:val="both"/>
      </w:pPr>
    </w:p>
    <w:p w:rsidR="008F6246" w:rsidRDefault="008F6246" w:rsidP="008F6246">
      <w:pPr>
        <w:pStyle w:val="Section"/>
        <w:jc w:val="both"/>
      </w:pPr>
      <w:r>
        <w:t>Conclusion</w:t>
      </w:r>
    </w:p>
    <w:p w:rsidR="008F6246" w:rsidRDefault="008F6246" w:rsidP="008F6246">
      <w:pPr>
        <w:jc w:val="both"/>
      </w:pPr>
      <w:r>
        <w:t xml:space="preserve">As stated above, the most hazardous path for us to take at this point in </w:t>
      </w:r>
      <w:proofErr w:type="spellStart"/>
      <w:r>
        <w:t>Vacasa’s</w:t>
      </w:r>
      <w:proofErr w:type="spellEnd"/>
      <w:r>
        <w:t xml:space="preserve"> lifecycle is to do nothing.  The proposal outlined above, based on my 30+ years in information technology, with 25 of them as a production database architect and administrator, </w:t>
      </w:r>
      <w:proofErr w:type="gramStart"/>
      <w:r>
        <w:t>merely</w:t>
      </w:r>
      <w:proofErr w:type="gramEnd"/>
      <w:r>
        <w:t xml:space="preserve"> delineates the standard business strategy in tackling scaling concerns, molded to fit our particular technology stack.</w:t>
      </w:r>
    </w:p>
    <w:p w:rsidR="00C309F6" w:rsidRDefault="00C309F6">
      <w:pPr>
        <w:tabs>
          <w:tab w:val="center" w:pos="4680"/>
          <w:tab w:val="right" w:pos="9360"/>
        </w:tabs>
        <w:spacing w:before="369"/>
        <w:ind w:left="-1080"/>
        <w:rPr>
          <w:rFonts w:ascii="Calibri" w:eastAsia="Calibri" w:hAnsi="Calibri" w:cs="Calibri"/>
          <w:sz w:val="24"/>
          <w:szCs w:val="24"/>
        </w:rPr>
      </w:pPr>
    </w:p>
    <w:p w:rsidR="00C309F6" w:rsidRDefault="00C309F6">
      <w:pPr>
        <w:pStyle w:val="Heading1"/>
        <w:rPr>
          <w:rFonts w:ascii="Calibri" w:eastAsia="Calibri" w:hAnsi="Calibri" w:cs="Calibri"/>
          <w:b w:val="0"/>
          <w:sz w:val="24"/>
          <w:szCs w:val="24"/>
        </w:rPr>
      </w:pPr>
      <w:bookmarkStart w:id="9" w:name="_3sqzzvz6degt" w:colFirst="0" w:colLast="0"/>
      <w:bookmarkEnd w:id="9"/>
    </w:p>
    <w:p w:rsidR="00C309F6" w:rsidRDefault="00C309F6">
      <w:pPr>
        <w:pStyle w:val="Heading2"/>
      </w:pPr>
      <w:bookmarkStart w:id="10" w:name="_lhnsve2j404n" w:colFirst="0" w:colLast="0"/>
      <w:bookmarkEnd w:id="10"/>
    </w:p>
    <w:p w:rsidR="00C309F6" w:rsidRDefault="00C309F6"/>
    <w:p w:rsidR="00D62C38" w:rsidRDefault="00D62C38">
      <w:bookmarkStart w:id="11" w:name="_rq62g5j4q984" w:colFirst="0" w:colLast="0"/>
      <w:bookmarkEnd w:id="11"/>
      <w:r>
        <w:br w:type="page"/>
      </w:r>
    </w:p>
    <w:p w:rsidR="00D62C38" w:rsidRDefault="00D62C38">
      <w:pPr>
        <w:sectPr w:rsidR="00D62C38" w:rsidSect="004F696C">
          <w:headerReference w:type="default" r:id="rId10"/>
          <w:headerReference w:type="first" r:id="rId11"/>
          <w:footerReference w:type="first" r:id="rId12"/>
          <w:pgSz w:w="12240" w:h="15840"/>
          <w:pgMar w:top="1440" w:right="1080" w:bottom="1440" w:left="1080" w:header="0" w:footer="720" w:gutter="0"/>
          <w:pgNumType w:start="1"/>
          <w:cols w:space="720"/>
          <w:titlePg/>
          <w:docGrid w:linePitch="299"/>
        </w:sectPr>
      </w:pPr>
    </w:p>
    <w:p w:rsidR="008F6246" w:rsidRDefault="008F6246" w:rsidP="008F6246">
      <w:pPr>
        <w:rPr>
          <w:rFonts w:eastAsia="Times New Roman"/>
          <w:b/>
          <w:bCs/>
          <w:sz w:val="28"/>
          <w:szCs w:val="28"/>
          <w:lang w:val="en-US"/>
        </w:rPr>
      </w:pPr>
      <w:r>
        <w:rPr>
          <w:rFonts w:eastAsia="Times New Roman"/>
          <w:b/>
          <w:bCs/>
          <w:sz w:val="28"/>
          <w:szCs w:val="28"/>
          <w:lang w:val="en-US"/>
        </w:rPr>
        <w:lastRenderedPageBreak/>
        <w:t xml:space="preserve">Appendix </w:t>
      </w:r>
      <w:r>
        <w:rPr>
          <w:rFonts w:eastAsia="Times New Roman"/>
          <w:b/>
          <w:bCs/>
          <w:sz w:val="28"/>
          <w:szCs w:val="28"/>
          <w:lang w:val="en-US"/>
        </w:rPr>
        <w:t>A</w:t>
      </w:r>
      <w:r>
        <w:rPr>
          <w:rFonts w:eastAsia="Times New Roman"/>
          <w:b/>
          <w:bCs/>
          <w:sz w:val="28"/>
          <w:szCs w:val="28"/>
          <w:lang w:val="en-US"/>
        </w:rPr>
        <w:t xml:space="preserve">: </w:t>
      </w:r>
      <w:r>
        <w:rPr>
          <w:rFonts w:eastAsia="Times New Roman"/>
          <w:b/>
          <w:bCs/>
          <w:sz w:val="28"/>
          <w:szCs w:val="28"/>
          <w:lang w:val="en-US"/>
        </w:rPr>
        <w:t>POC environment cost</w:t>
      </w:r>
    </w:p>
    <w:p w:rsidR="008F6246" w:rsidRDefault="008F6246" w:rsidP="008F6246">
      <w:pPr>
        <w:rPr>
          <w:rFonts w:eastAsia="Times New Roman"/>
          <w:b/>
          <w:bCs/>
          <w:sz w:val="28"/>
          <w:szCs w:val="28"/>
          <w:lang w:val="en-US"/>
        </w:rPr>
      </w:pPr>
    </w:p>
    <w:tbl>
      <w:tblPr>
        <w:tblW w:w="3560" w:type="dxa"/>
        <w:tblInd w:w="93" w:type="dxa"/>
        <w:tblLook w:val="04A0" w:firstRow="1" w:lastRow="0" w:firstColumn="1" w:lastColumn="0" w:noHBand="0" w:noVBand="1"/>
      </w:tblPr>
      <w:tblGrid>
        <w:gridCol w:w="2014"/>
        <w:gridCol w:w="1546"/>
      </w:tblGrid>
      <w:tr w:rsidR="008F6246" w:rsidRPr="008F6246" w:rsidTr="008F6246">
        <w:trPr>
          <w:trHeight w:val="255"/>
        </w:trPr>
        <w:tc>
          <w:tcPr>
            <w:tcW w:w="3560" w:type="dxa"/>
            <w:gridSpan w:val="2"/>
            <w:tcBorders>
              <w:top w:val="nil"/>
              <w:left w:val="nil"/>
              <w:bottom w:val="nil"/>
              <w:right w:val="nil"/>
            </w:tcBorders>
            <w:shd w:val="clear" w:color="auto" w:fill="auto"/>
            <w:noWrap/>
            <w:vAlign w:val="bottom"/>
            <w:hideMark/>
          </w:tcPr>
          <w:p w:rsidR="008F6246" w:rsidRPr="008F6246" w:rsidRDefault="008F6246" w:rsidP="008F6246">
            <w:pPr>
              <w:rPr>
                <w:rFonts w:eastAsia="Times New Roman"/>
                <w:b/>
                <w:bCs/>
                <w:color w:val="000000"/>
                <w:sz w:val="20"/>
                <w:szCs w:val="20"/>
                <w:lang w:val="en-US"/>
              </w:rPr>
            </w:pPr>
            <w:r w:rsidRPr="008F6246">
              <w:rPr>
                <w:rFonts w:eastAsia="Times New Roman"/>
                <w:b/>
                <w:bCs/>
                <w:color w:val="000000"/>
                <w:sz w:val="20"/>
                <w:szCs w:val="20"/>
                <w:lang w:val="en-US"/>
              </w:rPr>
              <w:t>EC2 Transform instance</w:t>
            </w:r>
          </w:p>
        </w:tc>
      </w:tr>
      <w:tr w:rsidR="008F6246" w:rsidRPr="008F6246" w:rsidTr="008F6246">
        <w:trPr>
          <w:trHeight w:val="255"/>
        </w:trPr>
        <w:tc>
          <w:tcPr>
            <w:tcW w:w="2014" w:type="dxa"/>
            <w:tcBorders>
              <w:top w:val="nil"/>
              <w:left w:val="nil"/>
              <w:bottom w:val="nil"/>
              <w:right w:val="nil"/>
            </w:tcBorders>
            <w:shd w:val="clear" w:color="auto" w:fill="auto"/>
            <w:noWrap/>
            <w:vAlign w:val="bottom"/>
            <w:hideMark/>
          </w:tcPr>
          <w:p w:rsidR="008F6246" w:rsidRPr="008F6246" w:rsidRDefault="008F6246" w:rsidP="008F6246">
            <w:pPr>
              <w:rPr>
                <w:rFonts w:eastAsia="Times New Roman"/>
                <w:color w:val="000000"/>
                <w:sz w:val="20"/>
                <w:szCs w:val="20"/>
                <w:lang w:val="en-US"/>
              </w:rPr>
            </w:pPr>
            <w:r w:rsidRPr="008F6246">
              <w:rPr>
                <w:rFonts w:eastAsia="Times New Roman"/>
                <w:color w:val="000000"/>
                <w:sz w:val="20"/>
                <w:szCs w:val="20"/>
                <w:lang w:val="en-US"/>
              </w:rPr>
              <w:t>db.r4.2xlarge</w:t>
            </w:r>
          </w:p>
        </w:tc>
        <w:tc>
          <w:tcPr>
            <w:tcW w:w="1546" w:type="dxa"/>
            <w:tcBorders>
              <w:top w:val="nil"/>
              <w:left w:val="nil"/>
              <w:bottom w:val="nil"/>
              <w:right w:val="nil"/>
            </w:tcBorders>
            <w:shd w:val="clear" w:color="auto" w:fill="auto"/>
            <w:noWrap/>
            <w:vAlign w:val="bottom"/>
            <w:hideMark/>
          </w:tcPr>
          <w:p w:rsidR="008F6246" w:rsidRPr="008F6246" w:rsidRDefault="008F6246" w:rsidP="008F6246">
            <w:pPr>
              <w:jc w:val="right"/>
              <w:rPr>
                <w:rFonts w:eastAsia="Times New Roman"/>
                <w:color w:val="000000"/>
                <w:sz w:val="20"/>
                <w:szCs w:val="20"/>
                <w:lang w:val="en-US"/>
              </w:rPr>
            </w:pPr>
            <w:r w:rsidRPr="008F6246">
              <w:rPr>
                <w:rFonts w:eastAsia="Times New Roman"/>
                <w:color w:val="000000"/>
                <w:sz w:val="20"/>
                <w:szCs w:val="20"/>
                <w:lang w:val="en-US"/>
              </w:rPr>
              <w:t>$389.43</w:t>
            </w:r>
          </w:p>
        </w:tc>
      </w:tr>
      <w:tr w:rsidR="008F6246" w:rsidRPr="008F6246" w:rsidTr="008F6246">
        <w:trPr>
          <w:trHeight w:val="255"/>
        </w:trPr>
        <w:tc>
          <w:tcPr>
            <w:tcW w:w="2014" w:type="dxa"/>
            <w:tcBorders>
              <w:top w:val="nil"/>
              <w:left w:val="nil"/>
              <w:bottom w:val="nil"/>
              <w:right w:val="nil"/>
            </w:tcBorders>
            <w:shd w:val="clear" w:color="auto" w:fill="auto"/>
            <w:noWrap/>
            <w:vAlign w:val="bottom"/>
            <w:hideMark/>
          </w:tcPr>
          <w:p w:rsidR="008F6246" w:rsidRPr="008F6246" w:rsidRDefault="008F6246" w:rsidP="008F6246">
            <w:pPr>
              <w:rPr>
                <w:rFonts w:eastAsia="Times New Roman"/>
                <w:color w:val="000000"/>
                <w:sz w:val="20"/>
                <w:szCs w:val="20"/>
                <w:lang w:val="en-US"/>
              </w:rPr>
            </w:pPr>
          </w:p>
        </w:tc>
        <w:tc>
          <w:tcPr>
            <w:tcW w:w="1546" w:type="dxa"/>
            <w:tcBorders>
              <w:top w:val="nil"/>
              <w:left w:val="nil"/>
              <w:bottom w:val="nil"/>
              <w:right w:val="nil"/>
            </w:tcBorders>
            <w:shd w:val="clear" w:color="auto" w:fill="auto"/>
            <w:noWrap/>
            <w:vAlign w:val="bottom"/>
            <w:hideMark/>
          </w:tcPr>
          <w:p w:rsidR="008F6246" w:rsidRPr="008F6246" w:rsidRDefault="008F6246" w:rsidP="008F6246">
            <w:pPr>
              <w:rPr>
                <w:rFonts w:eastAsia="Times New Roman"/>
                <w:color w:val="000000"/>
                <w:sz w:val="20"/>
                <w:szCs w:val="20"/>
                <w:lang w:val="en-US"/>
              </w:rPr>
            </w:pPr>
          </w:p>
        </w:tc>
      </w:tr>
      <w:tr w:rsidR="008F6246" w:rsidRPr="008F6246" w:rsidTr="008F6246">
        <w:trPr>
          <w:trHeight w:val="255"/>
        </w:trPr>
        <w:tc>
          <w:tcPr>
            <w:tcW w:w="3560" w:type="dxa"/>
            <w:gridSpan w:val="2"/>
            <w:tcBorders>
              <w:top w:val="nil"/>
              <w:left w:val="nil"/>
              <w:bottom w:val="nil"/>
              <w:right w:val="nil"/>
            </w:tcBorders>
            <w:shd w:val="clear" w:color="auto" w:fill="auto"/>
            <w:noWrap/>
            <w:vAlign w:val="bottom"/>
            <w:hideMark/>
          </w:tcPr>
          <w:p w:rsidR="008F6246" w:rsidRPr="008F6246" w:rsidRDefault="008F6246" w:rsidP="008F6246">
            <w:pPr>
              <w:rPr>
                <w:rFonts w:eastAsia="Times New Roman"/>
                <w:b/>
                <w:bCs/>
                <w:color w:val="000000"/>
                <w:sz w:val="20"/>
                <w:szCs w:val="20"/>
                <w:lang w:val="en-US"/>
              </w:rPr>
            </w:pPr>
            <w:r w:rsidRPr="008F6246">
              <w:rPr>
                <w:rFonts w:eastAsia="Times New Roman"/>
                <w:b/>
                <w:bCs/>
                <w:color w:val="000000"/>
                <w:sz w:val="20"/>
                <w:szCs w:val="20"/>
                <w:lang w:val="en-US"/>
              </w:rPr>
              <w:t>3-node Aurora Cluster</w:t>
            </w:r>
          </w:p>
        </w:tc>
      </w:tr>
      <w:tr w:rsidR="008F6246" w:rsidRPr="008F6246" w:rsidTr="008F6246">
        <w:trPr>
          <w:trHeight w:val="255"/>
        </w:trPr>
        <w:tc>
          <w:tcPr>
            <w:tcW w:w="2014" w:type="dxa"/>
            <w:tcBorders>
              <w:top w:val="nil"/>
              <w:left w:val="nil"/>
              <w:bottom w:val="nil"/>
              <w:right w:val="nil"/>
            </w:tcBorders>
            <w:shd w:val="clear" w:color="auto" w:fill="auto"/>
            <w:noWrap/>
            <w:vAlign w:val="bottom"/>
            <w:hideMark/>
          </w:tcPr>
          <w:p w:rsidR="008F6246" w:rsidRPr="008F6246" w:rsidRDefault="008F6246" w:rsidP="008F6246">
            <w:pPr>
              <w:rPr>
                <w:rFonts w:eastAsia="Times New Roman"/>
                <w:color w:val="000000"/>
                <w:sz w:val="20"/>
                <w:szCs w:val="20"/>
                <w:lang w:val="en-US"/>
              </w:rPr>
            </w:pPr>
            <w:r w:rsidRPr="008F6246">
              <w:rPr>
                <w:rFonts w:eastAsia="Times New Roman"/>
                <w:color w:val="000000"/>
                <w:sz w:val="20"/>
                <w:szCs w:val="20"/>
                <w:lang w:val="en-US"/>
              </w:rPr>
              <w:t>db.r4.2xlarge</w:t>
            </w:r>
          </w:p>
        </w:tc>
        <w:tc>
          <w:tcPr>
            <w:tcW w:w="1546" w:type="dxa"/>
            <w:tcBorders>
              <w:top w:val="nil"/>
              <w:left w:val="nil"/>
              <w:bottom w:val="nil"/>
              <w:right w:val="nil"/>
            </w:tcBorders>
            <w:shd w:val="clear" w:color="auto" w:fill="auto"/>
            <w:noWrap/>
            <w:vAlign w:val="bottom"/>
            <w:hideMark/>
          </w:tcPr>
          <w:p w:rsidR="008F6246" w:rsidRPr="008F6246" w:rsidRDefault="008F6246" w:rsidP="008F6246">
            <w:pPr>
              <w:jc w:val="right"/>
              <w:rPr>
                <w:rFonts w:eastAsia="Times New Roman"/>
                <w:color w:val="000000"/>
                <w:sz w:val="20"/>
                <w:szCs w:val="20"/>
                <w:lang w:val="en-US"/>
              </w:rPr>
            </w:pPr>
            <w:r w:rsidRPr="008F6246">
              <w:rPr>
                <w:rFonts w:eastAsia="Times New Roman"/>
                <w:color w:val="000000"/>
                <w:sz w:val="20"/>
                <w:szCs w:val="20"/>
                <w:lang w:val="en-US"/>
              </w:rPr>
              <w:t>$899.13</w:t>
            </w:r>
          </w:p>
        </w:tc>
      </w:tr>
      <w:tr w:rsidR="008F6246" w:rsidRPr="008F6246" w:rsidTr="008F6246">
        <w:trPr>
          <w:trHeight w:val="255"/>
        </w:trPr>
        <w:tc>
          <w:tcPr>
            <w:tcW w:w="2014" w:type="dxa"/>
            <w:tcBorders>
              <w:top w:val="nil"/>
              <w:left w:val="nil"/>
              <w:bottom w:val="nil"/>
              <w:right w:val="nil"/>
            </w:tcBorders>
            <w:shd w:val="clear" w:color="auto" w:fill="auto"/>
            <w:noWrap/>
            <w:vAlign w:val="bottom"/>
            <w:hideMark/>
          </w:tcPr>
          <w:p w:rsidR="008F6246" w:rsidRPr="008F6246" w:rsidRDefault="008F6246" w:rsidP="008F6246">
            <w:pPr>
              <w:rPr>
                <w:rFonts w:eastAsia="Times New Roman"/>
                <w:color w:val="000000"/>
                <w:sz w:val="20"/>
                <w:szCs w:val="20"/>
                <w:lang w:val="en-US"/>
              </w:rPr>
            </w:pPr>
          </w:p>
        </w:tc>
        <w:tc>
          <w:tcPr>
            <w:tcW w:w="1546" w:type="dxa"/>
            <w:tcBorders>
              <w:top w:val="nil"/>
              <w:left w:val="nil"/>
              <w:bottom w:val="nil"/>
              <w:right w:val="nil"/>
            </w:tcBorders>
            <w:shd w:val="clear" w:color="auto" w:fill="auto"/>
            <w:noWrap/>
            <w:vAlign w:val="bottom"/>
            <w:hideMark/>
          </w:tcPr>
          <w:p w:rsidR="008F6246" w:rsidRPr="008F6246" w:rsidRDefault="008F6246" w:rsidP="008F6246">
            <w:pPr>
              <w:rPr>
                <w:rFonts w:eastAsia="Times New Roman"/>
                <w:color w:val="000000"/>
                <w:sz w:val="20"/>
                <w:szCs w:val="20"/>
                <w:lang w:val="en-US"/>
              </w:rPr>
            </w:pPr>
          </w:p>
        </w:tc>
      </w:tr>
      <w:tr w:rsidR="008F6246" w:rsidRPr="008F6246" w:rsidTr="008F6246">
        <w:trPr>
          <w:trHeight w:val="255"/>
        </w:trPr>
        <w:tc>
          <w:tcPr>
            <w:tcW w:w="2014" w:type="dxa"/>
            <w:tcBorders>
              <w:top w:val="nil"/>
              <w:left w:val="nil"/>
              <w:bottom w:val="nil"/>
              <w:right w:val="nil"/>
            </w:tcBorders>
            <w:shd w:val="clear" w:color="auto" w:fill="auto"/>
            <w:noWrap/>
            <w:vAlign w:val="bottom"/>
            <w:hideMark/>
          </w:tcPr>
          <w:p w:rsidR="008F6246" w:rsidRPr="008F6246" w:rsidRDefault="008F6246" w:rsidP="008F6246">
            <w:pPr>
              <w:rPr>
                <w:rFonts w:eastAsia="Times New Roman"/>
                <w:color w:val="000000"/>
                <w:sz w:val="20"/>
                <w:szCs w:val="20"/>
                <w:lang w:val="en-US"/>
              </w:rPr>
            </w:pPr>
            <w:r w:rsidRPr="008F6246">
              <w:rPr>
                <w:rFonts w:eastAsia="Times New Roman"/>
                <w:color w:val="000000"/>
                <w:sz w:val="20"/>
                <w:szCs w:val="20"/>
                <w:lang w:val="en-US"/>
              </w:rPr>
              <w:t>Total:</w:t>
            </w:r>
          </w:p>
        </w:tc>
        <w:tc>
          <w:tcPr>
            <w:tcW w:w="1546" w:type="dxa"/>
            <w:tcBorders>
              <w:top w:val="nil"/>
              <w:left w:val="nil"/>
              <w:bottom w:val="nil"/>
              <w:right w:val="nil"/>
            </w:tcBorders>
            <w:shd w:val="clear" w:color="auto" w:fill="auto"/>
            <w:noWrap/>
            <w:vAlign w:val="bottom"/>
            <w:hideMark/>
          </w:tcPr>
          <w:p w:rsidR="008F6246" w:rsidRPr="008F6246" w:rsidRDefault="008F6246" w:rsidP="008F6246">
            <w:pPr>
              <w:jc w:val="right"/>
              <w:rPr>
                <w:rFonts w:eastAsia="Times New Roman"/>
                <w:color w:val="000000"/>
                <w:sz w:val="20"/>
                <w:szCs w:val="20"/>
                <w:lang w:val="en-US"/>
              </w:rPr>
            </w:pPr>
            <w:r w:rsidRPr="008F6246">
              <w:rPr>
                <w:rFonts w:eastAsia="Times New Roman"/>
                <w:color w:val="000000"/>
                <w:sz w:val="20"/>
                <w:szCs w:val="20"/>
                <w:lang w:val="en-US"/>
              </w:rPr>
              <w:t>$1,288.56</w:t>
            </w:r>
          </w:p>
        </w:tc>
      </w:tr>
    </w:tbl>
    <w:p w:rsidR="008F6246" w:rsidRDefault="008F6246" w:rsidP="008F6246">
      <w:pPr>
        <w:rPr>
          <w:rFonts w:eastAsia="Times New Roman"/>
          <w:b/>
          <w:bCs/>
          <w:sz w:val="28"/>
          <w:szCs w:val="28"/>
          <w:lang w:val="en-US"/>
        </w:rPr>
      </w:pPr>
    </w:p>
    <w:p w:rsidR="008F6246" w:rsidRDefault="008F6246">
      <w:r>
        <w:br w:type="page"/>
      </w:r>
    </w:p>
    <w:tbl>
      <w:tblPr>
        <w:tblW w:w="11079" w:type="dxa"/>
        <w:tblInd w:w="-432" w:type="dxa"/>
        <w:tblLook w:val="04A0" w:firstRow="1" w:lastRow="0" w:firstColumn="1" w:lastColumn="0" w:noHBand="0" w:noVBand="1"/>
      </w:tblPr>
      <w:tblGrid>
        <w:gridCol w:w="3364"/>
        <w:gridCol w:w="1807"/>
        <w:gridCol w:w="1872"/>
        <w:gridCol w:w="1743"/>
        <w:gridCol w:w="2293"/>
      </w:tblGrid>
      <w:tr w:rsidR="00D62C38" w:rsidRPr="00D62C38" w:rsidTr="00D62C38">
        <w:trPr>
          <w:trHeight w:val="360"/>
        </w:trPr>
        <w:tc>
          <w:tcPr>
            <w:tcW w:w="11079" w:type="dxa"/>
            <w:gridSpan w:val="5"/>
            <w:tcBorders>
              <w:top w:val="nil"/>
              <w:left w:val="nil"/>
              <w:bottom w:val="nil"/>
              <w:right w:val="nil"/>
            </w:tcBorders>
            <w:shd w:val="clear" w:color="auto" w:fill="auto"/>
            <w:noWrap/>
            <w:vAlign w:val="bottom"/>
            <w:hideMark/>
          </w:tcPr>
          <w:p w:rsidR="00D62C38" w:rsidRDefault="008F6246" w:rsidP="00D62C38">
            <w:pPr>
              <w:rPr>
                <w:rFonts w:eastAsia="Times New Roman"/>
                <w:b/>
                <w:bCs/>
                <w:sz w:val="28"/>
                <w:szCs w:val="28"/>
                <w:lang w:val="en-US"/>
              </w:rPr>
            </w:pPr>
            <w:r>
              <w:rPr>
                <w:rFonts w:eastAsia="Times New Roman"/>
                <w:b/>
                <w:bCs/>
                <w:sz w:val="28"/>
                <w:szCs w:val="28"/>
                <w:lang w:val="en-US"/>
              </w:rPr>
              <w:lastRenderedPageBreak/>
              <w:t>Appendix B</w:t>
            </w:r>
            <w:r w:rsidR="00D62C38">
              <w:rPr>
                <w:rFonts w:eastAsia="Times New Roman"/>
                <w:b/>
                <w:bCs/>
                <w:sz w:val="28"/>
                <w:szCs w:val="28"/>
                <w:lang w:val="en-US"/>
              </w:rPr>
              <w:t xml:space="preserve">: Estimated </w:t>
            </w:r>
            <w:r>
              <w:rPr>
                <w:rFonts w:eastAsia="Times New Roman"/>
                <w:b/>
                <w:bCs/>
                <w:sz w:val="28"/>
                <w:szCs w:val="28"/>
                <w:lang w:val="en-US"/>
              </w:rPr>
              <w:t xml:space="preserve">Production </w:t>
            </w:r>
            <w:proofErr w:type="spellStart"/>
            <w:r w:rsidR="00D62C38">
              <w:rPr>
                <w:rFonts w:eastAsia="Times New Roman"/>
                <w:b/>
                <w:bCs/>
                <w:sz w:val="28"/>
                <w:szCs w:val="28"/>
                <w:lang w:val="en-US"/>
              </w:rPr>
              <w:t>CapEx</w:t>
            </w:r>
            <w:proofErr w:type="spellEnd"/>
          </w:p>
          <w:p w:rsidR="00D62C38" w:rsidRDefault="00D62C38" w:rsidP="00D62C38">
            <w:pPr>
              <w:jc w:val="center"/>
              <w:rPr>
                <w:rFonts w:eastAsia="Times New Roman"/>
                <w:b/>
                <w:bCs/>
                <w:sz w:val="28"/>
                <w:szCs w:val="28"/>
                <w:lang w:val="en-US"/>
              </w:rPr>
            </w:pPr>
          </w:p>
          <w:p w:rsidR="00D62C38" w:rsidRDefault="00D62C38" w:rsidP="00D62C38">
            <w:pPr>
              <w:jc w:val="center"/>
              <w:rPr>
                <w:rStyle w:val="Strong"/>
                <w:lang w:val="en-US"/>
              </w:rPr>
            </w:pPr>
            <w:r w:rsidRPr="00D62C38">
              <w:rPr>
                <w:rStyle w:val="Strong"/>
                <w:lang w:val="en-US"/>
              </w:rPr>
              <w:t>Aurora-based monolith with EC2 Transform layer</w:t>
            </w:r>
          </w:p>
          <w:p w:rsidR="008F6246" w:rsidRDefault="008F6246" w:rsidP="00D62C38">
            <w:pPr>
              <w:jc w:val="center"/>
              <w:rPr>
                <w:rStyle w:val="Strong"/>
                <w:lang w:val="en-US"/>
              </w:rPr>
            </w:pPr>
            <w:r>
              <w:rPr>
                <w:rStyle w:val="Strong"/>
                <w:lang w:val="en-US"/>
              </w:rPr>
              <w:t>Replaces current production master and five slaves</w:t>
            </w:r>
          </w:p>
          <w:p w:rsidR="008F6246" w:rsidRDefault="008F6246" w:rsidP="00D62C38">
            <w:pPr>
              <w:jc w:val="center"/>
              <w:rPr>
                <w:rStyle w:val="Strong"/>
                <w:lang w:val="en-US"/>
              </w:rPr>
            </w:pPr>
            <w:r>
              <w:rPr>
                <w:rStyle w:val="Strong"/>
                <w:lang w:val="en-US"/>
              </w:rPr>
              <w:t>Possible to collapse rates, finance, and other ancillary instances into the cluster</w:t>
            </w:r>
          </w:p>
          <w:p w:rsidR="008F6246" w:rsidRPr="00D62C38" w:rsidRDefault="008F6246" w:rsidP="00D62C38">
            <w:pPr>
              <w:jc w:val="center"/>
              <w:rPr>
                <w:rStyle w:val="Strong"/>
                <w:lang w:val="en-US"/>
              </w:rPr>
            </w:pPr>
            <w:bookmarkStart w:id="12" w:name="_GoBack"/>
            <w:bookmarkEnd w:id="12"/>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Instance Type</w:t>
            </w:r>
          </w:p>
        </w:tc>
        <w:tc>
          <w:tcPr>
            <w:tcW w:w="5422" w:type="dxa"/>
            <w:gridSpan w:val="3"/>
            <w:tcBorders>
              <w:top w:val="nil"/>
              <w:left w:val="nil"/>
              <w:bottom w:val="nil"/>
              <w:right w:val="nil"/>
            </w:tcBorders>
            <w:shd w:val="clear" w:color="auto" w:fill="auto"/>
            <w:noWrap/>
            <w:vAlign w:val="bottom"/>
            <w:hideMark/>
          </w:tcPr>
          <w:p w:rsidR="00D62C38" w:rsidRPr="00D62C38" w:rsidRDefault="00D62C38" w:rsidP="00D62C38">
            <w:pPr>
              <w:rPr>
                <w:rFonts w:eastAsia="Times New Roman"/>
                <w:sz w:val="20"/>
                <w:szCs w:val="20"/>
                <w:lang w:val="en-US"/>
              </w:rPr>
            </w:pPr>
            <w:r w:rsidRPr="00D62C38">
              <w:rPr>
                <w:rFonts w:eastAsia="Times New Roman"/>
                <w:sz w:val="20"/>
                <w:szCs w:val="20"/>
                <w:lang w:val="en-US"/>
              </w:rPr>
              <w:t>Aurora r4.8xlarge for monolith; r4.4xlarge for Transform layer</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0"/>
                <w:szCs w:val="20"/>
                <w:lang w:val="en-US"/>
              </w:rPr>
            </w:pPr>
            <w:r w:rsidRPr="00D62C38">
              <w:rPr>
                <w:rFonts w:eastAsia="Times New Roman"/>
                <w:b/>
                <w:bCs/>
                <w:sz w:val="20"/>
                <w:szCs w:val="20"/>
                <w:lang w:val="en-US"/>
              </w:rPr>
              <w:t>Aurora</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0"/>
                <w:szCs w:val="20"/>
                <w:lang w:val="en-US"/>
              </w:rPr>
            </w:pPr>
            <w:r w:rsidRPr="00D62C38">
              <w:rPr>
                <w:rFonts w:eastAsia="Times New Roman"/>
                <w:b/>
                <w:bCs/>
                <w:sz w:val="20"/>
                <w:szCs w:val="20"/>
                <w:lang w:val="en-US"/>
              </w:rPr>
              <w:t>EC2</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330"/>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Nodes</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sz w:val="20"/>
                <w:szCs w:val="20"/>
                <w:lang w:val="en-US"/>
              </w:rPr>
            </w:pPr>
            <w:r w:rsidRPr="00D62C38">
              <w:rPr>
                <w:rFonts w:eastAsia="Times New Roman"/>
                <w:sz w:val="20"/>
                <w:szCs w:val="20"/>
                <w:lang w:val="en-US"/>
              </w:rPr>
              <w:t>4</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sz w:val="20"/>
                <w:szCs w:val="20"/>
                <w:lang w:val="en-US"/>
              </w:rPr>
            </w:pPr>
            <w:r w:rsidRPr="00D62C38">
              <w:rPr>
                <w:rFonts w:eastAsia="Times New Roman"/>
                <w:sz w:val="20"/>
                <w:szCs w:val="20"/>
                <w:lang w:val="en-US"/>
              </w:rPr>
              <w:t>3</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p>
        </w:tc>
      </w:tr>
      <w:tr w:rsidR="00D62C38" w:rsidRPr="00D62C38" w:rsidTr="00D62C38">
        <w:trPr>
          <w:trHeight w:val="255"/>
        </w:trPr>
        <w:tc>
          <w:tcPr>
            <w:tcW w:w="3364" w:type="dxa"/>
            <w:tcBorders>
              <w:top w:val="nil"/>
              <w:left w:val="nil"/>
              <w:bottom w:val="nil"/>
              <w:right w:val="nil"/>
            </w:tcBorders>
            <w:shd w:val="clear" w:color="CCCCCC" w:fill="CCCCCC"/>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Projected totals</w:t>
            </w:r>
          </w:p>
        </w:tc>
        <w:tc>
          <w:tcPr>
            <w:tcW w:w="1807" w:type="dxa"/>
            <w:tcBorders>
              <w:top w:val="nil"/>
              <w:left w:val="nil"/>
              <w:bottom w:val="nil"/>
              <w:right w:val="nil"/>
            </w:tcBorders>
            <w:shd w:val="clear" w:color="CCCCCC" w:fill="CCCCCC"/>
            <w:noWrap/>
            <w:vAlign w:val="bottom"/>
            <w:hideMark/>
          </w:tcPr>
          <w:p w:rsidR="00D62C38" w:rsidRPr="00D62C38" w:rsidRDefault="00D62C38" w:rsidP="00D62C38">
            <w:pPr>
              <w:rPr>
                <w:rFonts w:eastAsia="Times New Roman"/>
                <w:sz w:val="20"/>
                <w:szCs w:val="20"/>
                <w:lang w:val="en-US"/>
              </w:rPr>
            </w:pPr>
            <w:r w:rsidRPr="00D62C38">
              <w:rPr>
                <w:rFonts w:eastAsia="Times New Roman"/>
                <w:sz w:val="20"/>
                <w:szCs w:val="20"/>
                <w:lang w:val="en-US"/>
              </w:rPr>
              <w:t> </w:t>
            </w:r>
          </w:p>
        </w:tc>
        <w:tc>
          <w:tcPr>
            <w:tcW w:w="1872" w:type="dxa"/>
            <w:tcBorders>
              <w:top w:val="nil"/>
              <w:left w:val="nil"/>
              <w:bottom w:val="nil"/>
              <w:right w:val="nil"/>
            </w:tcBorders>
            <w:shd w:val="clear" w:color="CCCCCC" w:fill="CCCCCC"/>
            <w:noWrap/>
            <w:vAlign w:val="bottom"/>
            <w:hideMark/>
          </w:tcPr>
          <w:p w:rsidR="00D62C38" w:rsidRPr="00D62C38" w:rsidRDefault="00D62C38" w:rsidP="00D62C38">
            <w:pPr>
              <w:rPr>
                <w:rFonts w:eastAsia="Times New Roman"/>
                <w:sz w:val="20"/>
                <w:szCs w:val="20"/>
                <w:lang w:val="en-US"/>
              </w:rPr>
            </w:pPr>
            <w:r w:rsidRPr="00D62C38">
              <w:rPr>
                <w:rFonts w:eastAsia="Times New Roman"/>
                <w:sz w:val="20"/>
                <w:szCs w:val="20"/>
                <w:lang w:val="en-US"/>
              </w:rPr>
              <w:t> </w:t>
            </w:r>
          </w:p>
        </w:tc>
        <w:tc>
          <w:tcPr>
            <w:tcW w:w="1743" w:type="dxa"/>
            <w:tcBorders>
              <w:top w:val="nil"/>
              <w:left w:val="nil"/>
              <w:bottom w:val="nil"/>
              <w:right w:val="nil"/>
            </w:tcBorders>
            <w:shd w:val="clear" w:color="CCCCCC" w:fill="CCCCCC"/>
            <w:noWrap/>
            <w:vAlign w:val="bottom"/>
            <w:hideMark/>
          </w:tcPr>
          <w:p w:rsidR="00D62C38" w:rsidRPr="00D62C38" w:rsidRDefault="00D62C38" w:rsidP="00D62C38">
            <w:pPr>
              <w:jc w:val="right"/>
              <w:rPr>
                <w:rFonts w:eastAsia="Times New Roman"/>
                <w:b/>
                <w:bCs/>
                <w:sz w:val="20"/>
                <w:szCs w:val="20"/>
                <w:lang w:val="en-US"/>
              </w:rPr>
            </w:pPr>
            <w:r w:rsidRPr="00D62C38">
              <w:rPr>
                <w:rFonts w:eastAsia="Times New Roman"/>
                <w:b/>
                <w:bCs/>
                <w:sz w:val="20"/>
                <w:szCs w:val="20"/>
                <w:lang w:val="en-US"/>
              </w:rPr>
              <w:t>Upfront</w:t>
            </w:r>
          </w:p>
        </w:tc>
        <w:tc>
          <w:tcPr>
            <w:tcW w:w="2293" w:type="dxa"/>
            <w:tcBorders>
              <w:top w:val="nil"/>
              <w:left w:val="nil"/>
              <w:bottom w:val="nil"/>
              <w:right w:val="nil"/>
            </w:tcBorders>
            <w:shd w:val="clear" w:color="CCCCCC" w:fill="CCCCCC"/>
            <w:noWrap/>
            <w:vAlign w:val="bottom"/>
            <w:hideMark/>
          </w:tcPr>
          <w:p w:rsidR="00D62C38" w:rsidRPr="00D62C38" w:rsidRDefault="00D62C38" w:rsidP="00D62C38">
            <w:pPr>
              <w:jc w:val="right"/>
              <w:rPr>
                <w:rFonts w:eastAsia="Times New Roman"/>
                <w:b/>
                <w:bCs/>
                <w:sz w:val="20"/>
                <w:szCs w:val="20"/>
                <w:lang w:val="en-US"/>
              </w:rPr>
            </w:pPr>
            <w:r w:rsidRPr="00D62C38">
              <w:rPr>
                <w:rFonts w:eastAsia="Times New Roman"/>
                <w:b/>
                <w:bCs/>
                <w:sz w:val="20"/>
                <w:szCs w:val="20"/>
                <w:lang w:val="en-US"/>
              </w:rPr>
              <w:t>Annualized monthly</w:t>
            </w: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1yr all upfront RI monthly</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$800.00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$2,700.00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$100,684.00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$11,890.33</w:t>
            </w: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1yr partial upfront RI monthly</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$5,004.80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$3,212.46</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$46,141.00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$12,062.34</w:t>
            </w: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1yr no upfront monthly</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$9,618.44</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$4,386.54</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$14,004.98</w:t>
            </w: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3yr all upfront RI monthly</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$800.00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$2,700.00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$193,301.00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$8,869.47</w:t>
            </w: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3yr partial upfront RI monthly</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$3,603.20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$3,043.83</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$92,363.00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$9,212.67</w:t>
            </w: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b/>
                <w:bCs/>
                <w:sz w:val="20"/>
                <w:szCs w:val="20"/>
                <w:lang w:val="en-US"/>
              </w:rPr>
            </w:pPr>
            <w:r w:rsidRPr="00D62C38">
              <w:rPr>
                <w:rFonts w:eastAsia="Times New Roman"/>
                <w:b/>
                <w:bCs/>
                <w:sz w:val="20"/>
                <w:szCs w:val="20"/>
                <w:lang w:val="en-US"/>
              </w:rPr>
              <w:t>1yr all on demand monthly</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$9,618.44</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$4,386.54</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$14,004.98</w:t>
            </w:r>
          </w:p>
        </w:tc>
      </w:tr>
      <w:tr w:rsidR="00D62C38" w:rsidRPr="00D62C38" w:rsidTr="00D62C38">
        <w:trPr>
          <w:trHeight w:val="31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31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360"/>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r w:rsidRPr="00D62C38">
              <w:rPr>
                <w:rFonts w:eastAsia="Times New Roman"/>
                <w:b/>
                <w:bCs/>
                <w:sz w:val="28"/>
                <w:szCs w:val="28"/>
                <w:lang w:val="en-US"/>
              </w:rPr>
              <w:t>Aurora 4-node Cluster: db.r4.8xlarge</w:t>
            </w:r>
          </w:p>
        </w:tc>
      </w:tr>
      <w:tr w:rsidR="00D62C38" w:rsidRPr="00D62C38" w:rsidTr="00D62C38">
        <w:trPr>
          <w:trHeight w:val="315"/>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4"/>
                <w:szCs w:val="24"/>
                <w:lang w:val="en-US"/>
              </w:rPr>
            </w:pPr>
            <w:r w:rsidRPr="00D62C38">
              <w:rPr>
                <w:rFonts w:eastAsia="Times New Roman"/>
                <w:b/>
                <w:bCs/>
                <w:sz w:val="24"/>
                <w:szCs w:val="24"/>
                <w:lang w:val="en-US"/>
              </w:rPr>
              <w:t>1 Year</w:t>
            </w:r>
          </w:p>
        </w:tc>
      </w:tr>
      <w:tr w:rsidR="00D62C38" w:rsidRPr="00D62C38" w:rsidTr="00D62C38">
        <w:trPr>
          <w:trHeight w:val="255"/>
        </w:trPr>
        <w:tc>
          <w:tcPr>
            <w:tcW w:w="3364"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 </w:t>
            </w:r>
          </w:p>
        </w:tc>
        <w:tc>
          <w:tcPr>
            <w:tcW w:w="1807"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Upfront Cost</w:t>
            </w:r>
          </w:p>
        </w:tc>
        <w:tc>
          <w:tcPr>
            <w:tcW w:w="1872"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Monthly Cost</w:t>
            </w:r>
          </w:p>
        </w:tc>
        <w:tc>
          <w:tcPr>
            <w:tcW w:w="174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Annual Cost</w:t>
            </w:r>
          </w:p>
        </w:tc>
        <w:tc>
          <w:tcPr>
            <w:tcW w:w="229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RI Life Cost</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All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$88,648.00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$98,248.00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$98,248.00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Partial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$40,000.00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$5,004.80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$100,057.60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$100,057.60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No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$9,618.44</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r>
      <w:tr w:rsidR="00D62C38" w:rsidRPr="00D62C38" w:rsidTr="00D62C38">
        <w:trPr>
          <w:trHeight w:val="31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315"/>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4"/>
                <w:szCs w:val="24"/>
                <w:lang w:val="en-US"/>
              </w:rPr>
            </w:pPr>
            <w:r w:rsidRPr="00D62C38">
              <w:rPr>
                <w:rFonts w:eastAsia="Times New Roman"/>
                <w:b/>
                <w:bCs/>
                <w:sz w:val="24"/>
                <w:szCs w:val="24"/>
                <w:lang w:val="en-US"/>
              </w:rPr>
              <w:t>3 Year</w:t>
            </w:r>
          </w:p>
        </w:tc>
      </w:tr>
      <w:tr w:rsidR="00D62C38" w:rsidRPr="00D62C38" w:rsidTr="00D62C38">
        <w:trPr>
          <w:trHeight w:val="255"/>
        </w:trPr>
        <w:tc>
          <w:tcPr>
            <w:tcW w:w="3364"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 </w:t>
            </w:r>
          </w:p>
        </w:tc>
        <w:tc>
          <w:tcPr>
            <w:tcW w:w="1807"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Upfront Cost</w:t>
            </w:r>
          </w:p>
        </w:tc>
        <w:tc>
          <w:tcPr>
            <w:tcW w:w="1872"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Monthly Cost</w:t>
            </w:r>
          </w:p>
        </w:tc>
        <w:tc>
          <w:tcPr>
            <w:tcW w:w="174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Annual Cost</w:t>
            </w:r>
          </w:p>
        </w:tc>
        <w:tc>
          <w:tcPr>
            <w:tcW w:w="229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RI Life Cost</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All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$170,060.00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$66,286.67</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$170,060.00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Partial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$80,000.00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$3,603.20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$69,905.07</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$209,715.20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No Upfront</w:t>
            </w:r>
          </w:p>
        </w:tc>
        <w:tc>
          <w:tcPr>
            <w:tcW w:w="7715" w:type="dxa"/>
            <w:gridSpan w:val="4"/>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sz w:val="20"/>
                <w:szCs w:val="20"/>
                <w:lang w:val="en-US"/>
              </w:rPr>
            </w:pPr>
            <w:r w:rsidRPr="00D62C38">
              <w:rPr>
                <w:rFonts w:eastAsia="Times New Roman"/>
                <w:sz w:val="20"/>
                <w:szCs w:val="20"/>
                <w:lang w:val="en-US"/>
              </w:rPr>
              <w:t>Not available</w:t>
            </w:r>
          </w:p>
        </w:tc>
      </w:tr>
      <w:tr w:rsidR="00D62C38" w:rsidRPr="00D62C38" w:rsidTr="00D62C38">
        <w:trPr>
          <w:trHeight w:val="25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360"/>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r w:rsidRPr="00D62C38">
              <w:rPr>
                <w:rFonts w:eastAsia="Times New Roman"/>
                <w:b/>
                <w:bCs/>
                <w:sz w:val="28"/>
                <w:szCs w:val="28"/>
                <w:lang w:val="en-US"/>
              </w:rPr>
              <w:t>EC2-based Transform layer: 3 nodes</w:t>
            </w:r>
          </w:p>
        </w:tc>
      </w:tr>
      <w:tr w:rsidR="00D62C38" w:rsidRPr="00D62C38" w:rsidTr="00D62C38">
        <w:trPr>
          <w:trHeight w:val="315"/>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4"/>
                <w:szCs w:val="24"/>
                <w:lang w:val="en-US"/>
              </w:rPr>
            </w:pPr>
            <w:r w:rsidRPr="00D62C38">
              <w:rPr>
                <w:rFonts w:eastAsia="Times New Roman"/>
                <w:b/>
                <w:bCs/>
                <w:sz w:val="24"/>
                <w:szCs w:val="24"/>
                <w:lang w:val="en-US"/>
              </w:rPr>
              <w:t>1 Year</w:t>
            </w:r>
          </w:p>
        </w:tc>
      </w:tr>
      <w:tr w:rsidR="00D62C38" w:rsidRPr="00D62C38" w:rsidTr="00D62C38">
        <w:trPr>
          <w:trHeight w:val="255"/>
        </w:trPr>
        <w:tc>
          <w:tcPr>
            <w:tcW w:w="3364"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 </w:t>
            </w:r>
          </w:p>
        </w:tc>
        <w:tc>
          <w:tcPr>
            <w:tcW w:w="1807"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Upfront Cost</w:t>
            </w:r>
          </w:p>
        </w:tc>
        <w:tc>
          <w:tcPr>
            <w:tcW w:w="1872"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Monthly Cost</w:t>
            </w:r>
          </w:p>
        </w:tc>
        <w:tc>
          <w:tcPr>
            <w:tcW w:w="174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Annual Cost</w:t>
            </w:r>
          </w:p>
        </w:tc>
        <w:tc>
          <w:tcPr>
            <w:tcW w:w="229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RI Life Cost</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RI All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$12,036.00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$2,700.00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$44,436.00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$44,436.00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RI Partial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$6,141.00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$3,212.46</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$44,690.52</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$44,690.52</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On-demand</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$4,386.54</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$52,638.48</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$52,638.48</w:t>
            </w:r>
          </w:p>
        </w:tc>
      </w:tr>
      <w:tr w:rsidR="00D62C38" w:rsidRPr="00D62C38" w:rsidTr="00D62C38">
        <w:trPr>
          <w:trHeight w:val="31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315"/>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4"/>
                <w:szCs w:val="24"/>
                <w:lang w:val="en-US"/>
              </w:rPr>
            </w:pPr>
            <w:r w:rsidRPr="00D62C38">
              <w:rPr>
                <w:rFonts w:eastAsia="Times New Roman"/>
                <w:b/>
                <w:bCs/>
                <w:sz w:val="24"/>
                <w:szCs w:val="24"/>
                <w:lang w:val="en-US"/>
              </w:rPr>
              <w:t>3 Year</w:t>
            </w:r>
          </w:p>
        </w:tc>
      </w:tr>
      <w:tr w:rsidR="00D62C38" w:rsidRPr="00D62C38" w:rsidTr="00D62C38">
        <w:trPr>
          <w:trHeight w:val="255"/>
        </w:trPr>
        <w:tc>
          <w:tcPr>
            <w:tcW w:w="3364"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 </w:t>
            </w:r>
          </w:p>
        </w:tc>
        <w:tc>
          <w:tcPr>
            <w:tcW w:w="1807"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Upfront Cost</w:t>
            </w:r>
          </w:p>
        </w:tc>
        <w:tc>
          <w:tcPr>
            <w:tcW w:w="1872"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Monthly Cost</w:t>
            </w:r>
          </w:p>
        </w:tc>
        <w:tc>
          <w:tcPr>
            <w:tcW w:w="174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Annual Cost</w:t>
            </w:r>
          </w:p>
        </w:tc>
        <w:tc>
          <w:tcPr>
            <w:tcW w:w="229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RI Life Cost</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RI All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$23,241.00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$2,700.00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$7,747.00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$23,241.00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RI Partial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$12,363.00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$3,043.83</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$40,646.96</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$121,940.88</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On-demand</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4386.54</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$52,638.48</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$157,915.44</w:t>
            </w:r>
          </w:p>
        </w:tc>
      </w:tr>
      <w:tr w:rsidR="00D62C38" w:rsidRPr="00D62C38" w:rsidTr="00D62C38">
        <w:trPr>
          <w:trHeight w:val="360"/>
        </w:trPr>
        <w:tc>
          <w:tcPr>
            <w:tcW w:w="3364"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p>
        </w:tc>
      </w:tr>
      <w:tr w:rsidR="00D62C38" w:rsidRPr="00D62C38" w:rsidTr="00D62C38">
        <w:trPr>
          <w:trHeight w:val="360"/>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8"/>
                <w:szCs w:val="28"/>
                <w:lang w:val="en-US"/>
              </w:rPr>
            </w:pPr>
            <w:r w:rsidRPr="00D62C38">
              <w:rPr>
                <w:rFonts w:eastAsia="Times New Roman"/>
                <w:b/>
                <w:bCs/>
                <w:sz w:val="28"/>
                <w:szCs w:val="28"/>
                <w:lang w:val="en-US"/>
              </w:rPr>
              <w:lastRenderedPageBreak/>
              <w:t>Totals</w:t>
            </w:r>
          </w:p>
        </w:tc>
      </w:tr>
      <w:tr w:rsidR="00D62C38" w:rsidRPr="00D62C38" w:rsidTr="00D62C38">
        <w:trPr>
          <w:trHeight w:val="315"/>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4"/>
                <w:szCs w:val="24"/>
                <w:lang w:val="en-US"/>
              </w:rPr>
            </w:pPr>
            <w:r w:rsidRPr="00D62C38">
              <w:rPr>
                <w:rFonts w:eastAsia="Times New Roman"/>
                <w:b/>
                <w:bCs/>
                <w:sz w:val="24"/>
                <w:szCs w:val="24"/>
                <w:lang w:val="en-US"/>
              </w:rPr>
              <w:t>1 Year</w:t>
            </w:r>
          </w:p>
        </w:tc>
      </w:tr>
      <w:tr w:rsidR="00D62C38" w:rsidRPr="00D62C38" w:rsidTr="00D62C38">
        <w:trPr>
          <w:trHeight w:val="255"/>
        </w:trPr>
        <w:tc>
          <w:tcPr>
            <w:tcW w:w="3364"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 </w:t>
            </w:r>
          </w:p>
        </w:tc>
        <w:tc>
          <w:tcPr>
            <w:tcW w:w="1807"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Upfront Cost</w:t>
            </w:r>
          </w:p>
        </w:tc>
        <w:tc>
          <w:tcPr>
            <w:tcW w:w="1872"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Monthly Cost</w:t>
            </w:r>
          </w:p>
        </w:tc>
        <w:tc>
          <w:tcPr>
            <w:tcW w:w="174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Annual Cost</w:t>
            </w:r>
          </w:p>
        </w:tc>
        <w:tc>
          <w:tcPr>
            <w:tcW w:w="229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RI Life Cost</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All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$100,684.00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$3,500.00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$142,684.00</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$142,684.00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Partial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$46,141.00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$8,217.26</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$144,748.12</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$144,748.12</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No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$0.00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$14,004.98</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$52,638.48</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$52,638.48</w:t>
            </w:r>
          </w:p>
        </w:tc>
      </w:tr>
      <w:tr w:rsidR="00D62C38" w:rsidRPr="00D62C38" w:rsidTr="00D62C38">
        <w:trPr>
          <w:trHeight w:val="315"/>
        </w:trPr>
        <w:tc>
          <w:tcPr>
            <w:tcW w:w="3364"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07"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872"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174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c>
          <w:tcPr>
            <w:tcW w:w="2293" w:type="dxa"/>
            <w:tcBorders>
              <w:top w:val="nil"/>
              <w:left w:val="nil"/>
              <w:bottom w:val="nil"/>
              <w:right w:val="nil"/>
            </w:tcBorders>
            <w:shd w:val="clear" w:color="auto" w:fill="auto"/>
            <w:noWrap/>
            <w:vAlign w:val="bottom"/>
            <w:hideMark/>
          </w:tcPr>
          <w:p w:rsidR="00D62C38" w:rsidRPr="00D62C38" w:rsidRDefault="00D62C38" w:rsidP="00D62C38">
            <w:pPr>
              <w:rPr>
                <w:rFonts w:eastAsia="Times New Roman"/>
                <w:color w:val="000000"/>
                <w:sz w:val="20"/>
                <w:szCs w:val="20"/>
                <w:lang w:val="en-US"/>
              </w:rPr>
            </w:pPr>
          </w:p>
        </w:tc>
      </w:tr>
      <w:tr w:rsidR="00D62C38" w:rsidRPr="00D62C38" w:rsidTr="00D62C38">
        <w:trPr>
          <w:trHeight w:val="315"/>
        </w:trPr>
        <w:tc>
          <w:tcPr>
            <w:tcW w:w="11079" w:type="dxa"/>
            <w:gridSpan w:val="5"/>
            <w:tcBorders>
              <w:top w:val="nil"/>
              <w:left w:val="nil"/>
              <w:bottom w:val="nil"/>
              <w:right w:val="nil"/>
            </w:tcBorders>
            <w:shd w:val="clear" w:color="auto" w:fill="auto"/>
            <w:noWrap/>
            <w:vAlign w:val="bottom"/>
            <w:hideMark/>
          </w:tcPr>
          <w:p w:rsidR="00D62C38" w:rsidRPr="00D62C38" w:rsidRDefault="00D62C38" w:rsidP="00D62C38">
            <w:pPr>
              <w:jc w:val="center"/>
              <w:rPr>
                <w:rFonts w:eastAsia="Times New Roman"/>
                <w:b/>
                <w:bCs/>
                <w:sz w:val="24"/>
                <w:szCs w:val="24"/>
                <w:lang w:val="en-US"/>
              </w:rPr>
            </w:pPr>
            <w:r w:rsidRPr="00D62C38">
              <w:rPr>
                <w:rFonts w:eastAsia="Times New Roman"/>
                <w:b/>
                <w:bCs/>
                <w:sz w:val="24"/>
                <w:szCs w:val="24"/>
                <w:lang w:val="en-US"/>
              </w:rPr>
              <w:t>3 Year</w:t>
            </w:r>
          </w:p>
        </w:tc>
      </w:tr>
      <w:tr w:rsidR="00D62C38" w:rsidRPr="00D62C38" w:rsidTr="00D62C38">
        <w:trPr>
          <w:trHeight w:val="255"/>
        </w:trPr>
        <w:tc>
          <w:tcPr>
            <w:tcW w:w="3364"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 </w:t>
            </w:r>
          </w:p>
        </w:tc>
        <w:tc>
          <w:tcPr>
            <w:tcW w:w="1807"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Upfront Cost</w:t>
            </w:r>
          </w:p>
        </w:tc>
        <w:tc>
          <w:tcPr>
            <w:tcW w:w="1872"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Monthly Cost</w:t>
            </w:r>
          </w:p>
        </w:tc>
        <w:tc>
          <w:tcPr>
            <w:tcW w:w="174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Annual Cost</w:t>
            </w:r>
          </w:p>
        </w:tc>
        <w:tc>
          <w:tcPr>
            <w:tcW w:w="2293" w:type="dxa"/>
            <w:tcBorders>
              <w:top w:val="nil"/>
              <w:left w:val="nil"/>
              <w:bottom w:val="nil"/>
              <w:right w:val="nil"/>
            </w:tcBorders>
            <w:shd w:val="clear" w:color="434343" w:fill="434343"/>
            <w:noWrap/>
            <w:vAlign w:val="bottom"/>
            <w:hideMark/>
          </w:tcPr>
          <w:p w:rsidR="00D62C38" w:rsidRPr="00D62C38" w:rsidRDefault="00D62C38" w:rsidP="00D62C38">
            <w:pPr>
              <w:rPr>
                <w:rFonts w:eastAsia="Times New Roman"/>
                <w:b/>
                <w:bCs/>
                <w:color w:val="FFFFFF"/>
                <w:sz w:val="20"/>
                <w:szCs w:val="20"/>
                <w:lang w:val="en-US"/>
              </w:rPr>
            </w:pPr>
            <w:r w:rsidRPr="00D62C38">
              <w:rPr>
                <w:rFonts w:eastAsia="Times New Roman"/>
                <w:b/>
                <w:bCs/>
                <w:color w:val="FFFFFF"/>
                <w:sz w:val="20"/>
                <w:szCs w:val="20"/>
                <w:lang w:val="en-US"/>
              </w:rPr>
              <w:t>RI Life Cost</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All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$193,301.00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$3,500.00</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$74,033.67</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$193,301.00</w:t>
            </w:r>
          </w:p>
        </w:tc>
      </w:tr>
      <w:tr w:rsidR="00D62C38" w:rsidRPr="00D62C38" w:rsidTr="00D62C38">
        <w:trPr>
          <w:trHeight w:val="255"/>
        </w:trPr>
        <w:tc>
          <w:tcPr>
            <w:tcW w:w="3364" w:type="dxa"/>
            <w:tcBorders>
              <w:top w:val="nil"/>
              <w:left w:val="nil"/>
              <w:bottom w:val="nil"/>
              <w:right w:val="nil"/>
            </w:tcBorders>
            <w:shd w:val="clear" w:color="999999" w:fill="999999"/>
            <w:noWrap/>
            <w:vAlign w:val="bottom"/>
            <w:hideMark/>
          </w:tcPr>
          <w:p w:rsidR="00D62C38" w:rsidRPr="00D62C38" w:rsidRDefault="00D62C38" w:rsidP="00D62C38">
            <w:pPr>
              <w:rPr>
                <w:rFonts w:eastAsia="Times New Roman"/>
                <w:color w:val="F3F3F3"/>
                <w:sz w:val="20"/>
                <w:szCs w:val="20"/>
                <w:lang w:val="en-US"/>
              </w:rPr>
            </w:pPr>
            <w:r w:rsidRPr="00D62C38">
              <w:rPr>
                <w:rFonts w:eastAsia="Times New Roman"/>
                <w:color w:val="F3F3F3"/>
                <w:sz w:val="20"/>
                <w:szCs w:val="20"/>
                <w:lang w:val="en-US"/>
              </w:rPr>
              <w:t>Partial Upfront</w:t>
            </w:r>
          </w:p>
        </w:tc>
        <w:tc>
          <w:tcPr>
            <w:tcW w:w="1807"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$92,363.00</w:t>
            </w:r>
          </w:p>
        </w:tc>
        <w:tc>
          <w:tcPr>
            <w:tcW w:w="1872"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$6,647.03</w:t>
            </w:r>
          </w:p>
        </w:tc>
        <w:tc>
          <w:tcPr>
            <w:tcW w:w="174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$110,552.03</w:t>
            </w:r>
          </w:p>
        </w:tc>
        <w:tc>
          <w:tcPr>
            <w:tcW w:w="2293" w:type="dxa"/>
            <w:tcBorders>
              <w:top w:val="nil"/>
              <w:left w:val="nil"/>
              <w:bottom w:val="nil"/>
              <w:right w:val="nil"/>
            </w:tcBorders>
            <w:shd w:val="clear" w:color="auto" w:fill="auto"/>
            <w:noWrap/>
            <w:vAlign w:val="bottom"/>
            <w:hideMark/>
          </w:tcPr>
          <w:p w:rsidR="00D62C38" w:rsidRPr="00D62C38" w:rsidRDefault="00D62C38" w:rsidP="00D62C38">
            <w:pPr>
              <w:jc w:val="right"/>
              <w:rPr>
                <w:rFonts w:eastAsia="Times New Roman"/>
                <w:sz w:val="20"/>
                <w:szCs w:val="20"/>
                <w:lang w:val="en-US"/>
              </w:rPr>
            </w:pPr>
            <w:r w:rsidRPr="00D62C38">
              <w:rPr>
                <w:rFonts w:eastAsia="Times New Roman"/>
                <w:sz w:val="20"/>
                <w:szCs w:val="20"/>
                <w:lang w:val="en-US"/>
              </w:rPr>
              <w:t>$331,656.08</w:t>
            </w:r>
          </w:p>
        </w:tc>
      </w:tr>
    </w:tbl>
    <w:p w:rsidR="00D62C38" w:rsidRDefault="00D62C38"/>
    <w:p w:rsidR="00D62C38" w:rsidRDefault="00D62C38">
      <w:pPr>
        <w:rPr>
          <w:rFonts w:ascii="Calibri" w:eastAsia="Calibri" w:hAnsi="Calibri" w:cs="Calibri"/>
          <w:b/>
          <w:color w:val="434343"/>
          <w:sz w:val="28"/>
          <w:szCs w:val="28"/>
        </w:rPr>
      </w:pPr>
      <w:r>
        <w:br w:type="page"/>
      </w:r>
    </w:p>
    <w:sectPr w:rsidR="00D62C38" w:rsidSect="008F6246">
      <w:pgSz w:w="12240" w:h="15840"/>
      <w:pgMar w:top="1440" w:right="1080" w:bottom="1440" w:left="1080" w:header="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20871">
      <w:r>
        <w:separator/>
      </w:r>
    </w:p>
  </w:endnote>
  <w:endnote w:type="continuationSeparator" w:id="0">
    <w:p w:rsidR="00000000" w:rsidRDefault="00C2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ource Sans Pr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9F6" w:rsidRDefault="00C309F6">
    <w:pPr>
      <w:pBdr>
        <w:top w:val="nil"/>
        <w:left w:val="nil"/>
        <w:bottom w:val="nil"/>
        <w:right w:val="nil"/>
        <w:between w:val="nil"/>
      </w:pBdr>
      <w:jc w:val="right"/>
      <w:rPr>
        <w:color w:val="4F87A0"/>
        <w:sz w:val="18"/>
        <w:szCs w:val="18"/>
      </w:rPr>
    </w:pPr>
  </w:p>
  <w:p w:rsidR="00C309F6" w:rsidRDefault="00C309F6">
    <w:pPr>
      <w:pBdr>
        <w:top w:val="nil"/>
        <w:left w:val="nil"/>
        <w:bottom w:val="nil"/>
        <w:right w:val="nil"/>
        <w:between w:val="nil"/>
      </w:pBdr>
      <w:jc w:val="right"/>
      <w:rPr>
        <w:color w:val="4F87A0"/>
        <w:sz w:val="18"/>
        <w:szCs w:val="18"/>
      </w:rPr>
    </w:pPr>
  </w:p>
  <w:p w:rsidR="00C309F6" w:rsidRDefault="00C20871">
    <w:pPr>
      <w:pBdr>
        <w:top w:val="nil"/>
        <w:left w:val="nil"/>
        <w:bottom w:val="nil"/>
        <w:right w:val="nil"/>
        <w:between w:val="nil"/>
      </w:pBdr>
      <w:jc w:val="right"/>
      <w:rPr>
        <w:color w:val="B7B7B7"/>
        <w:sz w:val="20"/>
        <w:szCs w:val="20"/>
      </w:rPr>
    </w:pPr>
    <w:r>
      <w:rPr>
        <w:color w:val="B7B7B7"/>
        <w:sz w:val="20"/>
        <w:szCs w:val="20"/>
      </w:rPr>
      <w:t xml:space="preserve">Version: </w:t>
    </w:r>
    <w:r w:rsidR="007F57D5">
      <w:rPr>
        <w:color w:val="B7B7B7"/>
        <w:sz w:val="20"/>
        <w:szCs w:val="20"/>
      </w:rPr>
      <w:t>1</w:t>
    </w:r>
    <w:r>
      <w:rPr>
        <w:color w:val="B7B7B7"/>
        <w:sz w:val="20"/>
        <w:szCs w:val="20"/>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20871">
      <w:r>
        <w:separator/>
      </w:r>
    </w:p>
  </w:footnote>
  <w:footnote w:type="continuationSeparator" w:id="0">
    <w:p w:rsidR="00000000" w:rsidRDefault="00C208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246" w:rsidRDefault="008F6246">
    <w:pPr>
      <w:pStyle w:val="Header"/>
    </w:pPr>
  </w:p>
  <w:p w:rsidR="008F6246" w:rsidRDefault="008F6246" w:rsidP="008F6246">
    <w:pPr>
      <w:pStyle w:val="Header"/>
      <w:jc w:val="right"/>
      <w:rPr>
        <w:rFonts w:ascii="Palatino Linotype" w:hAnsi="Palatino Linotype"/>
        <w:i/>
        <w:sz w:val="18"/>
        <w:szCs w:val="18"/>
      </w:rPr>
    </w:pPr>
  </w:p>
  <w:p w:rsidR="00283FF6" w:rsidRPr="008F6246" w:rsidRDefault="008F6246" w:rsidP="008F6246">
    <w:pPr>
      <w:pStyle w:val="Header"/>
      <w:jc w:val="right"/>
      <w:rPr>
        <w:rFonts w:ascii="Palatino Linotype" w:hAnsi="Palatino Linotype"/>
        <w:i/>
        <w:sz w:val="18"/>
        <w:szCs w:val="18"/>
      </w:rPr>
    </w:pPr>
    <w:r w:rsidRPr="008F6246">
      <w:rPr>
        <w:rFonts w:ascii="Palatino Linotype" w:hAnsi="Palatino Linotype"/>
        <w:i/>
        <w:sz w:val="18"/>
        <w:szCs w:val="18"/>
      </w:rPr>
      <w:t xml:space="preserve">Persistence Layer Enhancements Proposal, March 2019, page </w:t>
    </w:r>
    <w:r w:rsidRPr="008F6246">
      <w:rPr>
        <w:rFonts w:ascii="Palatino Linotype" w:hAnsi="Palatino Linotype"/>
        <w:i/>
        <w:sz w:val="18"/>
        <w:szCs w:val="18"/>
      </w:rPr>
      <w:fldChar w:fldCharType="begin"/>
    </w:r>
    <w:r w:rsidRPr="008F6246">
      <w:rPr>
        <w:rFonts w:ascii="Palatino Linotype" w:hAnsi="Palatino Linotype"/>
        <w:i/>
        <w:sz w:val="18"/>
        <w:szCs w:val="18"/>
      </w:rPr>
      <w:instrText xml:space="preserve"> PAGE   \* MERGEFORMAT </w:instrText>
    </w:r>
    <w:r w:rsidRPr="008F6246">
      <w:rPr>
        <w:rFonts w:ascii="Palatino Linotype" w:hAnsi="Palatino Linotype"/>
        <w:i/>
        <w:sz w:val="18"/>
        <w:szCs w:val="18"/>
      </w:rPr>
      <w:fldChar w:fldCharType="separate"/>
    </w:r>
    <w:r w:rsidR="00C20871">
      <w:rPr>
        <w:rFonts w:ascii="Palatino Linotype" w:hAnsi="Palatino Linotype"/>
        <w:i/>
        <w:noProof/>
        <w:sz w:val="18"/>
        <w:szCs w:val="18"/>
      </w:rPr>
      <w:t>5</w:t>
    </w:r>
    <w:r w:rsidRPr="008F6246">
      <w:rPr>
        <w:rFonts w:ascii="Palatino Linotype" w:hAnsi="Palatino Linotype"/>
        <w:i/>
        <w:noProof/>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871" w:rsidRDefault="00C20871" w:rsidP="00C20871">
    <w:pPr>
      <w:tabs>
        <w:tab w:val="center" w:pos="4680"/>
        <w:tab w:val="right" w:pos="9360"/>
      </w:tabs>
      <w:spacing w:before="369"/>
      <w:ind w:left="-810"/>
      <w:jc w:val="center"/>
    </w:pPr>
    <w:r>
      <w:rPr>
        <w:noProof/>
        <w:lang w:val="en-US"/>
      </w:rPr>
      <mc:AlternateContent>
        <mc:Choice Requires="wps">
          <w:drawing>
            <wp:anchor distT="0" distB="0" distL="114300" distR="114300" simplePos="0" relativeHeight="251658240" behindDoc="0" locked="0" layoutInCell="1" allowOverlap="1" wp14:anchorId="2D72718C" wp14:editId="1A7AC35B">
              <wp:simplePos x="0" y="0"/>
              <wp:positionH relativeFrom="column">
                <wp:posOffset>1009650</wp:posOffset>
              </wp:positionH>
              <wp:positionV relativeFrom="paragraph">
                <wp:posOffset>361950</wp:posOffset>
              </wp:positionV>
              <wp:extent cx="5553075" cy="483235"/>
              <wp:effectExtent l="0" t="0" r="9525" b="0"/>
              <wp:wrapNone/>
              <wp:docPr id="10" name="Rectangle 10"/>
              <wp:cNvGraphicFramePr/>
              <a:graphic xmlns:a="http://schemas.openxmlformats.org/drawingml/2006/main">
                <a:graphicData uri="http://schemas.microsoft.com/office/word/2010/wordprocessingShape">
                  <wps:wsp>
                    <wps:cNvSpPr/>
                    <wps:spPr>
                      <a:xfrm>
                        <a:off x="0" y="0"/>
                        <a:ext cx="5553075" cy="483235"/>
                      </a:xfrm>
                      <a:prstGeom prst="rect">
                        <a:avLst/>
                      </a:prstGeom>
                      <a:solidFill>
                        <a:srgbClr val="4F87A0"/>
                      </a:solidFill>
                      <a:ln>
                        <a:noFill/>
                      </a:ln>
                    </wps:spPr>
                    <wps:txbx>
                      <w:txbxContent>
                        <w:p w:rsidR="00C20871" w:rsidRDefault="00C20871" w:rsidP="00C20871">
                          <w:r w:rsidRPr="00C20871">
                            <w:rPr>
                              <w:rFonts w:ascii="Source Sans Pro" w:eastAsia="Source Sans Pro" w:hAnsi="Source Sans Pro" w:cs="Source Sans Pro"/>
                              <w:b/>
                              <w:color w:val="FFFFFF"/>
                              <w:sz w:val="38"/>
                              <w:szCs w:val="38"/>
                            </w:rPr>
                            <w:t>Persistence Layer Enhancement Proposal</w:t>
                          </w:r>
                          <w:r>
                            <w:rPr>
                              <w:rFonts w:ascii="Source Sans Pro" w:eastAsia="Source Sans Pro" w:hAnsi="Source Sans Pro" w:cs="Source Sans Pro"/>
                              <w:b/>
                              <w:color w:val="FFFFFF"/>
                              <w:sz w:val="48"/>
                            </w:rPr>
                            <w:t xml:space="preserve"> | </w:t>
                          </w:r>
                          <w:r w:rsidRPr="00C20871">
                            <w:rPr>
                              <w:rFonts w:ascii="Source Sans Pro" w:eastAsia="Source Sans Pro" w:hAnsi="Source Sans Pro" w:cs="Source Sans Pro"/>
                              <w:b/>
                              <w:color w:val="FFFFFF"/>
                              <w:sz w:val="32"/>
                              <w:szCs w:val="32"/>
                            </w:rPr>
                            <w:t>Scope</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79.5pt;margin-top:28.5pt;width:437.25pt;height:3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" fillcolor="#4f87a0" stroked="f">
              <v:textbox inset="2.53958mm,1.2694mm,2.53958mm,1.2694mm">
                <w:txbxContent>
                  <w:p w:rsidR="00C20871" w:rsidRDefault="00C20871" w:rsidP="00C20871">
                    <w:r w:rsidRPr="00C20871">
                      <w:rPr>
                        <w:rFonts w:ascii="Source Sans Pro" w:eastAsia="Source Sans Pro" w:hAnsi="Source Sans Pro" w:cs="Source Sans Pro"/>
                        <w:b/>
                        <w:color w:val="FFFFFF"/>
                        <w:sz w:val="38"/>
                        <w:szCs w:val="38"/>
                      </w:rPr>
                      <w:t>Persistence Layer Enhancement Proposal</w:t>
                    </w:r>
                    <w:r>
                      <w:rPr>
                        <w:rFonts w:ascii="Source Sans Pro" w:eastAsia="Source Sans Pro" w:hAnsi="Source Sans Pro" w:cs="Source Sans Pro"/>
                        <w:b/>
                        <w:color w:val="FFFFFF"/>
                        <w:sz w:val="48"/>
                      </w:rPr>
                      <w:t xml:space="preserve"> | </w:t>
                    </w:r>
                    <w:r w:rsidRPr="00C20871">
                      <w:rPr>
                        <w:rFonts w:ascii="Source Sans Pro" w:eastAsia="Source Sans Pro" w:hAnsi="Source Sans Pro" w:cs="Source Sans Pro"/>
                        <w:b/>
                        <w:color w:val="FFFFFF"/>
                        <w:sz w:val="32"/>
                        <w:szCs w:val="32"/>
                      </w:rPr>
                      <w:t>Scope</w:t>
                    </w:r>
                  </w:p>
                </w:txbxContent>
              </v:textbox>
            </v:rect>
          </w:pict>
        </mc:Fallback>
      </mc:AlternateContent>
    </w:r>
    <w:r>
      <w:rPr>
        <w:rFonts w:ascii="Calibri" w:eastAsia="Calibri" w:hAnsi="Calibri" w:cs="Calibri"/>
        <w:noProof/>
        <w:sz w:val="24"/>
        <w:szCs w:val="24"/>
        <w:lang w:val="en-US"/>
      </w:rPr>
      <w:drawing>
        <wp:inline distT="0" distB="0" distL="0" distR="0" wp14:anchorId="338E1218" wp14:editId="6C58E3E7">
          <wp:extent cx="7448550" cy="647700"/>
          <wp:effectExtent l="0" t="0" r="0" b="0"/>
          <wp:docPr id="9" name="Picture 9" descr="/Users/Taylor/Desktop/headers/vacasa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descr="/Users/Taylor/Desktop/headers/vacasa_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6076" cy="649224"/>
                  </a:xfrm>
                  <a:prstGeom prst="rect">
                    <a:avLst/>
                  </a:prstGeom>
                  <a:noFill/>
                  <a:ln>
                    <a:noFill/>
                  </a:ln>
                </pic:spPr>
              </pic:pic>
            </a:graphicData>
          </a:graphic>
        </wp:inline>
      </w:drawing>
    </w:r>
  </w:p>
  <w:p w:rsidR="00C309F6" w:rsidRPr="00C20871" w:rsidRDefault="00C309F6" w:rsidP="00C208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3F84"/>
    <w:multiLevelType w:val="hybridMultilevel"/>
    <w:tmpl w:val="F90A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26CF8"/>
    <w:multiLevelType w:val="multilevel"/>
    <w:tmpl w:val="86C25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B86DD9"/>
    <w:multiLevelType w:val="hybridMultilevel"/>
    <w:tmpl w:val="D54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C2140"/>
    <w:multiLevelType w:val="hybridMultilevel"/>
    <w:tmpl w:val="BE60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816D02"/>
    <w:multiLevelType w:val="multilevel"/>
    <w:tmpl w:val="7994B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177218"/>
    <w:multiLevelType w:val="multilevel"/>
    <w:tmpl w:val="9CD4F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4"/>
  </w:compat>
  <w:rsids>
    <w:rsidRoot w:val="00C309F6"/>
    <w:rsid w:val="00003109"/>
    <w:rsid w:val="000B44A5"/>
    <w:rsid w:val="001046B7"/>
    <w:rsid w:val="00283FF6"/>
    <w:rsid w:val="003D11C9"/>
    <w:rsid w:val="00443BDF"/>
    <w:rsid w:val="004F696C"/>
    <w:rsid w:val="00527BAD"/>
    <w:rsid w:val="005F363D"/>
    <w:rsid w:val="0073196A"/>
    <w:rsid w:val="00733B5D"/>
    <w:rsid w:val="007F57D5"/>
    <w:rsid w:val="00822AAD"/>
    <w:rsid w:val="00877349"/>
    <w:rsid w:val="008F6246"/>
    <w:rsid w:val="00953328"/>
    <w:rsid w:val="00A256E0"/>
    <w:rsid w:val="00A568A9"/>
    <w:rsid w:val="00C20871"/>
    <w:rsid w:val="00C309F6"/>
    <w:rsid w:val="00C43B22"/>
    <w:rsid w:val="00CB3E77"/>
    <w:rsid w:val="00D62C38"/>
    <w:rsid w:val="00ED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line="276" w:lineRule="auto"/>
      <w:outlineLvl w:val="1"/>
    </w:pPr>
    <w:rPr>
      <w:rFonts w:ascii="Calibri" w:eastAsia="Calibri" w:hAnsi="Calibri" w:cs="Calibri"/>
      <w:b/>
      <w:color w:val="434343"/>
      <w:sz w:val="28"/>
      <w:szCs w:val="28"/>
    </w:rPr>
  </w:style>
  <w:style w:type="paragraph" w:styleId="Heading3">
    <w:name w:val="heading 3"/>
    <w:basedOn w:val="Normal"/>
    <w:next w:val="Normal"/>
    <w:pPr>
      <w:keepNext/>
      <w:keepLines/>
      <w:spacing w:before="280"/>
      <w:outlineLvl w:val="2"/>
    </w:pPr>
    <w:rPr>
      <w:rFonts w:ascii="Calibri" w:eastAsia="Calibri" w:hAnsi="Calibri" w:cs="Calibri"/>
      <w:b/>
      <w:color w:val="999999"/>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80"/>
    </w:pPr>
    <w:rPr>
      <w:i/>
      <w:color w:val="666666"/>
    </w:rPr>
  </w:style>
  <w:style w:type="paragraph" w:styleId="BalloonText">
    <w:name w:val="Balloon Text"/>
    <w:basedOn w:val="Normal"/>
    <w:link w:val="BalloonTextChar"/>
    <w:uiPriority w:val="99"/>
    <w:semiHidden/>
    <w:unhideWhenUsed/>
    <w:rsid w:val="00527BAD"/>
    <w:rPr>
      <w:rFonts w:ascii="Tahoma" w:hAnsi="Tahoma" w:cs="Tahoma"/>
      <w:sz w:val="16"/>
      <w:szCs w:val="16"/>
    </w:rPr>
  </w:style>
  <w:style w:type="character" w:customStyle="1" w:styleId="BalloonTextChar">
    <w:name w:val="Balloon Text Char"/>
    <w:basedOn w:val="DefaultParagraphFont"/>
    <w:link w:val="BalloonText"/>
    <w:uiPriority w:val="99"/>
    <w:semiHidden/>
    <w:rsid w:val="00527BAD"/>
    <w:rPr>
      <w:rFonts w:ascii="Tahoma" w:hAnsi="Tahoma" w:cs="Tahoma"/>
      <w:sz w:val="16"/>
      <w:szCs w:val="16"/>
    </w:rPr>
  </w:style>
  <w:style w:type="paragraph" w:styleId="Header">
    <w:name w:val="header"/>
    <w:basedOn w:val="Normal"/>
    <w:link w:val="HeaderChar"/>
    <w:uiPriority w:val="99"/>
    <w:unhideWhenUsed/>
    <w:rsid w:val="00527BAD"/>
    <w:pPr>
      <w:tabs>
        <w:tab w:val="center" w:pos="4680"/>
        <w:tab w:val="right" w:pos="9360"/>
      </w:tabs>
    </w:pPr>
  </w:style>
  <w:style w:type="character" w:customStyle="1" w:styleId="HeaderChar">
    <w:name w:val="Header Char"/>
    <w:basedOn w:val="DefaultParagraphFont"/>
    <w:link w:val="Header"/>
    <w:uiPriority w:val="99"/>
    <w:rsid w:val="00527BAD"/>
  </w:style>
  <w:style w:type="paragraph" w:styleId="Footer">
    <w:name w:val="footer"/>
    <w:basedOn w:val="Normal"/>
    <w:link w:val="FooterChar"/>
    <w:uiPriority w:val="99"/>
    <w:unhideWhenUsed/>
    <w:rsid w:val="00527BAD"/>
    <w:pPr>
      <w:tabs>
        <w:tab w:val="center" w:pos="4680"/>
        <w:tab w:val="right" w:pos="9360"/>
      </w:tabs>
    </w:pPr>
  </w:style>
  <w:style w:type="character" w:customStyle="1" w:styleId="FooterChar">
    <w:name w:val="Footer Char"/>
    <w:basedOn w:val="DefaultParagraphFont"/>
    <w:link w:val="Footer"/>
    <w:uiPriority w:val="99"/>
    <w:rsid w:val="00527BAD"/>
  </w:style>
  <w:style w:type="paragraph" w:styleId="ListParagraph">
    <w:name w:val="List Paragraph"/>
    <w:basedOn w:val="Normal"/>
    <w:uiPriority w:val="34"/>
    <w:qFormat/>
    <w:rsid w:val="004F696C"/>
    <w:pPr>
      <w:ind w:left="720"/>
      <w:contextualSpacing/>
    </w:pPr>
  </w:style>
  <w:style w:type="paragraph" w:customStyle="1" w:styleId="Section">
    <w:name w:val="Section"/>
    <w:basedOn w:val="Heading2"/>
    <w:link w:val="SectionChar"/>
    <w:qFormat/>
    <w:rsid w:val="004F696C"/>
    <w:pPr>
      <w:spacing w:before="240"/>
    </w:pPr>
  </w:style>
  <w:style w:type="paragraph" w:customStyle="1" w:styleId="Paragraph">
    <w:name w:val="Paragraph"/>
    <w:basedOn w:val="Normal"/>
    <w:link w:val="ParagraphChar"/>
    <w:qFormat/>
    <w:rsid w:val="004F696C"/>
  </w:style>
  <w:style w:type="character" w:customStyle="1" w:styleId="Heading2Char">
    <w:name w:val="Heading 2 Char"/>
    <w:basedOn w:val="DefaultParagraphFont"/>
    <w:link w:val="Heading2"/>
    <w:rsid w:val="004F696C"/>
    <w:rPr>
      <w:rFonts w:ascii="Calibri" w:eastAsia="Calibri" w:hAnsi="Calibri" w:cs="Calibri"/>
      <w:b/>
      <w:color w:val="434343"/>
      <w:sz w:val="28"/>
      <w:szCs w:val="28"/>
    </w:rPr>
  </w:style>
  <w:style w:type="character" w:customStyle="1" w:styleId="SectionChar">
    <w:name w:val="Section Char"/>
    <w:basedOn w:val="Heading2Char"/>
    <w:link w:val="Section"/>
    <w:rsid w:val="004F696C"/>
    <w:rPr>
      <w:rFonts w:ascii="Calibri" w:eastAsia="Calibri" w:hAnsi="Calibri" w:cs="Calibri"/>
      <w:b/>
      <w:color w:val="434343"/>
      <w:sz w:val="28"/>
      <w:szCs w:val="28"/>
    </w:rPr>
  </w:style>
  <w:style w:type="character" w:styleId="Emphasis">
    <w:name w:val="Emphasis"/>
    <w:aliases w:val="Figure"/>
    <w:basedOn w:val="DefaultParagraphFont"/>
    <w:uiPriority w:val="20"/>
    <w:qFormat/>
    <w:rsid w:val="00877349"/>
    <w:rPr>
      <w:rFonts w:ascii="Palatino Linotype" w:hAnsi="Palatino Linotype"/>
      <w:i/>
      <w:iCs/>
      <w:sz w:val="20"/>
    </w:rPr>
  </w:style>
  <w:style w:type="character" w:customStyle="1" w:styleId="ParagraphChar">
    <w:name w:val="Paragraph Char"/>
    <w:basedOn w:val="DefaultParagraphFont"/>
    <w:link w:val="Paragraph"/>
    <w:rsid w:val="004F696C"/>
  </w:style>
  <w:style w:type="character" w:styleId="Strong">
    <w:name w:val="Strong"/>
    <w:basedOn w:val="DefaultParagraphFont"/>
    <w:uiPriority w:val="22"/>
    <w:qFormat/>
    <w:rsid w:val="00D62C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line="276" w:lineRule="auto"/>
      <w:outlineLvl w:val="1"/>
    </w:pPr>
    <w:rPr>
      <w:rFonts w:ascii="Calibri" w:eastAsia="Calibri" w:hAnsi="Calibri" w:cs="Calibri"/>
      <w:b/>
      <w:color w:val="434343"/>
      <w:sz w:val="28"/>
      <w:szCs w:val="28"/>
    </w:rPr>
  </w:style>
  <w:style w:type="paragraph" w:styleId="Heading3">
    <w:name w:val="heading 3"/>
    <w:basedOn w:val="Normal"/>
    <w:next w:val="Normal"/>
    <w:pPr>
      <w:keepNext/>
      <w:keepLines/>
      <w:spacing w:before="280"/>
      <w:outlineLvl w:val="2"/>
    </w:pPr>
    <w:rPr>
      <w:rFonts w:ascii="Calibri" w:eastAsia="Calibri" w:hAnsi="Calibri" w:cs="Calibri"/>
      <w:b/>
      <w:color w:val="999999"/>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80"/>
    </w:pPr>
    <w:rPr>
      <w:i/>
      <w:color w:val="666666"/>
    </w:rPr>
  </w:style>
  <w:style w:type="paragraph" w:styleId="BalloonText">
    <w:name w:val="Balloon Text"/>
    <w:basedOn w:val="Normal"/>
    <w:link w:val="BalloonTextChar"/>
    <w:uiPriority w:val="99"/>
    <w:semiHidden/>
    <w:unhideWhenUsed/>
    <w:rsid w:val="00527BAD"/>
    <w:rPr>
      <w:rFonts w:ascii="Tahoma" w:hAnsi="Tahoma" w:cs="Tahoma"/>
      <w:sz w:val="16"/>
      <w:szCs w:val="16"/>
    </w:rPr>
  </w:style>
  <w:style w:type="character" w:customStyle="1" w:styleId="BalloonTextChar">
    <w:name w:val="Balloon Text Char"/>
    <w:basedOn w:val="DefaultParagraphFont"/>
    <w:link w:val="BalloonText"/>
    <w:uiPriority w:val="99"/>
    <w:semiHidden/>
    <w:rsid w:val="00527BAD"/>
    <w:rPr>
      <w:rFonts w:ascii="Tahoma" w:hAnsi="Tahoma" w:cs="Tahoma"/>
      <w:sz w:val="16"/>
      <w:szCs w:val="16"/>
    </w:rPr>
  </w:style>
  <w:style w:type="paragraph" w:styleId="Header">
    <w:name w:val="header"/>
    <w:basedOn w:val="Normal"/>
    <w:link w:val="HeaderChar"/>
    <w:uiPriority w:val="99"/>
    <w:unhideWhenUsed/>
    <w:rsid w:val="00527BAD"/>
    <w:pPr>
      <w:tabs>
        <w:tab w:val="center" w:pos="4680"/>
        <w:tab w:val="right" w:pos="9360"/>
      </w:tabs>
    </w:pPr>
  </w:style>
  <w:style w:type="character" w:customStyle="1" w:styleId="HeaderChar">
    <w:name w:val="Header Char"/>
    <w:basedOn w:val="DefaultParagraphFont"/>
    <w:link w:val="Header"/>
    <w:uiPriority w:val="99"/>
    <w:rsid w:val="00527BAD"/>
  </w:style>
  <w:style w:type="paragraph" w:styleId="Footer">
    <w:name w:val="footer"/>
    <w:basedOn w:val="Normal"/>
    <w:link w:val="FooterChar"/>
    <w:uiPriority w:val="99"/>
    <w:unhideWhenUsed/>
    <w:rsid w:val="00527BAD"/>
    <w:pPr>
      <w:tabs>
        <w:tab w:val="center" w:pos="4680"/>
        <w:tab w:val="right" w:pos="9360"/>
      </w:tabs>
    </w:pPr>
  </w:style>
  <w:style w:type="character" w:customStyle="1" w:styleId="FooterChar">
    <w:name w:val="Footer Char"/>
    <w:basedOn w:val="DefaultParagraphFont"/>
    <w:link w:val="Footer"/>
    <w:uiPriority w:val="99"/>
    <w:rsid w:val="00527BAD"/>
  </w:style>
  <w:style w:type="paragraph" w:styleId="ListParagraph">
    <w:name w:val="List Paragraph"/>
    <w:basedOn w:val="Normal"/>
    <w:uiPriority w:val="34"/>
    <w:qFormat/>
    <w:rsid w:val="004F696C"/>
    <w:pPr>
      <w:ind w:left="720"/>
      <w:contextualSpacing/>
    </w:pPr>
  </w:style>
  <w:style w:type="paragraph" w:customStyle="1" w:styleId="Section">
    <w:name w:val="Section"/>
    <w:basedOn w:val="Heading2"/>
    <w:link w:val="SectionChar"/>
    <w:qFormat/>
    <w:rsid w:val="004F696C"/>
    <w:pPr>
      <w:spacing w:before="240"/>
    </w:pPr>
  </w:style>
  <w:style w:type="paragraph" w:customStyle="1" w:styleId="Paragraph">
    <w:name w:val="Paragraph"/>
    <w:basedOn w:val="Normal"/>
    <w:link w:val="ParagraphChar"/>
    <w:qFormat/>
    <w:rsid w:val="004F696C"/>
  </w:style>
  <w:style w:type="character" w:customStyle="1" w:styleId="Heading2Char">
    <w:name w:val="Heading 2 Char"/>
    <w:basedOn w:val="DefaultParagraphFont"/>
    <w:link w:val="Heading2"/>
    <w:rsid w:val="004F696C"/>
    <w:rPr>
      <w:rFonts w:ascii="Calibri" w:eastAsia="Calibri" w:hAnsi="Calibri" w:cs="Calibri"/>
      <w:b/>
      <w:color w:val="434343"/>
      <w:sz w:val="28"/>
      <w:szCs w:val="28"/>
    </w:rPr>
  </w:style>
  <w:style w:type="character" w:customStyle="1" w:styleId="SectionChar">
    <w:name w:val="Section Char"/>
    <w:basedOn w:val="Heading2Char"/>
    <w:link w:val="Section"/>
    <w:rsid w:val="004F696C"/>
    <w:rPr>
      <w:rFonts w:ascii="Calibri" w:eastAsia="Calibri" w:hAnsi="Calibri" w:cs="Calibri"/>
      <w:b/>
      <w:color w:val="434343"/>
      <w:sz w:val="28"/>
      <w:szCs w:val="28"/>
    </w:rPr>
  </w:style>
  <w:style w:type="character" w:styleId="Emphasis">
    <w:name w:val="Emphasis"/>
    <w:aliases w:val="Figure"/>
    <w:basedOn w:val="DefaultParagraphFont"/>
    <w:uiPriority w:val="20"/>
    <w:qFormat/>
    <w:rsid w:val="00877349"/>
    <w:rPr>
      <w:rFonts w:ascii="Palatino Linotype" w:hAnsi="Palatino Linotype"/>
      <w:i/>
      <w:iCs/>
      <w:sz w:val="20"/>
    </w:rPr>
  </w:style>
  <w:style w:type="character" w:customStyle="1" w:styleId="ParagraphChar">
    <w:name w:val="Paragraph Char"/>
    <w:basedOn w:val="DefaultParagraphFont"/>
    <w:link w:val="Paragraph"/>
    <w:rsid w:val="004F696C"/>
  </w:style>
  <w:style w:type="character" w:styleId="Strong">
    <w:name w:val="Strong"/>
    <w:basedOn w:val="DefaultParagraphFont"/>
    <w:uiPriority w:val="22"/>
    <w:qFormat/>
    <w:rsid w:val="00D62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964484">
      <w:bodyDiv w:val="1"/>
      <w:marLeft w:val="0"/>
      <w:marRight w:val="0"/>
      <w:marTop w:val="0"/>
      <w:marBottom w:val="0"/>
      <w:divBdr>
        <w:top w:val="none" w:sz="0" w:space="0" w:color="auto"/>
        <w:left w:val="none" w:sz="0" w:space="0" w:color="auto"/>
        <w:bottom w:val="none" w:sz="0" w:space="0" w:color="auto"/>
        <w:right w:val="none" w:sz="0" w:space="0" w:color="auto"/>
      </w:divBdr>
    </w:div>
    <w:div w:id="709383534">
      <w:bodyDiv w:val="1"/>
      <w:marLeft w:val="0"/>
      <w:marRight w:val="0"/>
      <w:marTop w:val="0"/>
      <w:marBottom w:val="0"/>
      <w:divBdr>
        <w:top w:val="none" w:sz="0" w:space="0" w:color="auto"/>
        <w:left w:val="none" w:sz="0" w:space="0" w:color="auto"/>
        <w:bottom w:val="none" w:sz="0" w:space="0" w:color="auto"/>
        <w:right w:val="none" w:sz="0" w:space="0" w:color="auto"/>
      </w:divBdr>
    </w:div>
    <w:div w:id="1414625624">
      <w:bodyDiv w:val="1"/>
      <w:marLeft w:val="0"/>
      <w:marRight w:val="0"/>
      <w:marTop w:val="0"/>
      <w:marBottom w:val="0"/>
      <w:divBdr>
        <w:top w:val="none" w:sz="0" w:space="0" w:color="auto"/>
        <w:left w:val="none" w:sz="0" w:space="0" w:color="auto"/>
        <w:bottom w:val="none" w:sz="0" w:space="0" w:color="auto"/>
        <w:right w:val="none" w:sz="0" w:space="0" w:color="auto"/>
      </w:divBdr>
    </w:div>
    <w:div w:id="1938782098">
      <w:bodyDiv w:val="1"/>
      <w:marLeft w:val="0"/>
      <w:marRight w:val="0"/>
      <w:marTop w:val="0"/>
      <w:marBottom w:val="0"/>
      <w:divBdr>
        <w:top w:val="none" w:sz="0" w:space="0" w:color="auto"/>
        <w:left w:val="none" w:sz="0" w:space="0" w:color="auto"/>
        <w:bottom w:val="none" w:sz="0" w:space="0" w:color="auto"/>
        <w:right w:val="none" w:sz="0" w:space="0" w:color="auto"/>
      </w:divBdr>
    </w:div>
    <w:div w:id="206899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8513</TotalTime>
  <Pages>9</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Persistence Layer Enhancements</vt:lpstr>
    </vt:vector>
  </TitlesOfParts>
  <Company>Vacasa, LLC</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Persistence Layer Enhancements</dc:title>
  <dc:creator>rlbyrd</dc:creator>
  <cp:keywords>database</cp:keywords>
  <cp:lastModifiedBy>rlbyrd</cp:lastModifiedBy>
  <cp:revision>16</cp:revision>
  <cp:lastPrinted>2019-03-28T22:35:00Z</cp:lastPrinted>
  <dcterms:created xsi:type="dcterms:W3CDTF">2019-03-21T19:36:00Z</dcterms:created>
  <dcterms:modified xsi:type="dcterms:W3CDTF">2019-03-28T22:43:00Z</dcterms:modified>
</cp:coreProperties>
</file>