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BIES System of Systems Architecture Guidelines &amp; Editorial Manual</w:t>
      </w:r>
    </w:p>
    <w:p>
      <w:r>
        <w:rPr>
          <w:b/>
        </w:rPr>
        <w:t>Document Identifier: BIES-ARCH-GUIDE-V1.0</w:t>
      </w:r>
      <w:r>
        <w:br/>
      </w:r>
      <w:r>
        <w:br/>
      </w:r>
      <w:r>
        <w:rPr>
          <w:i/>
        </w:rPr>
        <w:t>Governing Repository:</w:t>
      </w:r>
      <w:r>
        <w:t xml:space="preserve"> </w:t>
      </w:r>
      <w:r>
        <w:rPr>
          <w:rFonts w:ascii="Consolas" w:hAnsi="Consolas"/>
        </w:rPr>
        <w:t>Architecture1</w:t>
      </w:r>
      <w:r>
        <w:t xml:space="preserve"> (GitHub)</w:t>
      </w:r>
      <w:r>
        <w:br/>
      </w:r>
      <w:r>
        <w:br/>
      </w:r>
      <w:r>
        <w:rPr>
          <w:i/>
        </w:rPr>
        <w:t>Companion Artifact:</w:t>
      </w:r>
      <w:r>
        <w:t xml:space="preserve"> </w:t>
      </w:r>
      <w:r>
        <w:rPr>
          <w:i/>
        </w:rPr>
        <w:t>BIES Citation Tracker Spreadsheet</w:t>
      </w:r>
    </w:p>
    <w:p>
      <w:pPr>
        <w:pBdr>
          <w:bottom w:val="single" w:sz="6" w:space="1" w:color="808080"/>
        </w:pBdr>
      </w:pPr>
    </w:p>
    <w:p>
      <w:pPr>
        <w:pStyle w:val="Heading1"/>
      </w:pPr>
      <w:r>
        <w:t>PART A: EDITORIAL &amp; GOVERNANCE RULES</w:t>
      </w:r>
    </w:p>
    <w:p>
      <w:pPr>
        <w:pStyle w:val="Heading2"/>
      </w:pPr>
      <w:r>
        <w:t>1.0 Purpose and Scope of Editorial Guidelines</w:t>
      </w:r>
    </w:p>
    <w:p>
      <w:r>
        <w:t xml:space="preserve">These Editorial Guidelines establish the baseline development rules, formatting standards, and modeling methodologies for creating, modifying, and maintaining the </w:t>
      </w:r>
      <w:r>
        <w:rPr>
          <w:b/>
        </w:rPr>
        <w:t>BIES System of Systems Enterprise Architecture Guidelines</w:t>
      </w:r>
      <w:r>
        <w:t>.</w:t>
      </w:r>
    </w:p>
    <w:p>
      <w:r>
        <w:t>By enforcing strict rules around graphical visualizations, version control, and traceability, this document ensures that all future contributions to the BIES architecture portfolio remain consistent, secure, and ready for Department of War (DoW) and Defense Counterintelligence and Security Agency (DCSA) technical reviews.</w:t>
      </w:r>
    </w:p>
    <w:p>
      <w:pPr>
        <w:pBdr>
          <w:bottom w:val="single" w:sz="6" w:space="1" w:color="808080"/>
        </w:pBdr>
      </w:pPr>
    </w:p>
    <w:p>
      <w:pPr>
        <w:pStyle w:val="Heading2"/>
      </w:pPr>
      <w:r>
        <w:t>2.0 Core Editorial Rules</w:t>
      </w:r>
    </w:p>
    <w:p>
      <w:r>
        <w:t>To maintain high engineering quality and prevent document degradation, all authors, system architects, and technical writers must adhere to the following three structural rules: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A["Section Authoring"] --&gt;|"Rule 1: Visualize Concepts"| B["Mermaid Script Creation"]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--&gt;|"Rule 2: Version Control &amp; Commit"| C["Architecture1 GitHub Repo"]</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--&gt;|"Rule 3: Log Source Citations"| D["Citation Tracker Spreadsheet"]</w:t>
      </w:r>
    </w:p>
    <w:p>
      <w:pPr>
        <w:pStyle w:val="Heading3"/>
      </w:pPr>
      <w:r>
        <w:t>Rule 1: Mandatory Conceptual Visualization</w:t>
      </w:r>
    </w:p>
    <w:p>
      <w:r>
        <w:t>Every major section (X.0) and key subsection (X.Y) must feature at least one supporting system diagram or data-flow visualization. Text-only descriptions of complex network paths, software configurations, or identity management loops are insufficient for regulatory and engineering reviews.</w:t>
      </w:r>
    </w:p>
    <w:p>
      <w:pPr>
        <w:pStyle w:val="Heading3"/>
      </w:pPr>
      <w:r>
        <w:t>Rule 2: Standalone, Valid Mermaid.js Scripting</w:t>
      </w:r>
    </w:p>
    <w:p>
      <w:r>
        <w:t>All system diagrams and structural flows must be written using raw, standard Mermaid.js markdown blocks.</w:t>
      </w:r>
    </w:p>
    <w:p>
      <w:pPr>
        <w:pStyle w:val="ListBullet"/>
      </w:pPr>
      <w:r>
        <w:rPr>
          <w:b/>
        </w:rPr>
        <w:t>Copy-Paste Portability:</w:t>
      </w:r>
      <w:r>
        <w:t xml:space="preserve"> These scripts must remain editable and portable so they can be copied directly from this document and rendered dynamically in any standard platform (e.g., GitHub, GitLab, Azure DevOps, Notion).</w:t>
      </w:r>
    </w:p>
    <w:p>
      <w:pPr>
        <w:pStyle w:val="ListBullet"/>
      </w:pPr>
      <w:r>
        <w:rPr>
          <w:b/>
        </w:rPr>
        <w:t>Syntax Validation:</w:t>
      </w:r>
      <w:r>
        <w:t xml:space="preserve"> Authors must verify that Mermaid.js scripts are free of common parsing bugs:</w:t>
        <w:br/>
      </w:r>
      <w:r>
        <w:br/>
      </w:r>
    </w:p>
    <w:p>
      <w:pPr>
        <w:pStyle w:val="ListBullet"/>
        <w:ind w:left="720"/>
      </w:pPr>
      <w:r>
        <w:rPr>
          <w:b/>
        </w:rPr>
        <w:t>No Escapes:</w:t>
      </w:r>
      <w:r>
        <w:t xml:space="preserve"> Do not use backslashes (</w:t>
      </w:r>
      <w:r>
        <w:rPr>
          <w:rFonts w:ascii="Consolas" w:hAnsi="Consolas"/>
        </w:rPr>
        <w:t>\</w:t>
      </w:r>
      <w:r>
        <w:t xml:space="preserve">) to escape standard brackets inside node names (e.g., use </w:t>
      </w:r>
      <w:r>
        <w:rPr>
          <w:rFonts w:ascii="Consolas" w:hAnsi="Consolas"/>
        </w:rPr>
        <w:t>node[Text]</w:t>
      </w:r>
      <w:r>
        <w:t xml:space="preserve"> instead of </w:t>
      </w:r>
      <w:r>
        <w:rPr>
          <w:rFonts w:ascii="Consolas" w:hAnsi="Consolas"/>
        </w:rPr>
        <w:t>node\[Text\]</w:t>
      </w:r>
      <w:r>
        <w:t>).</w:t>
      </w:r>
    </w:p>
    <w:p>
      <w:pPr>
        <w:pStyle w:val="ListBullet"/>
        <w:ind w:left="720"/>
      </w:pPr>
      <w:r>
        <w:rPr>
          <w:b/>
        </w:rPr>
        <w:t>Valid Connectors:</w:t>
      </w:r>
      <w:r>
        <w:t xml:space="preserve"> Flowcharts (</w:t>
      </w:r>
      <w:r>
        <w:rPr>
          <w:rFonts w:ascii="Consolas" w:hAnsi="Consolas"/>
        </w:rPr>
        <w:t>graph TD/TB/LR</w:t>
      </w:r>
      <w:r>
        <w:t>) do not support bidirectional double-headed arrows (</w:t>
      </w:r>
      <w:r>
        <w:rPr>
          <w:rFonts w:ascii="Consolas" w:hAnsi="Consolas"/>
        </w:rPr>
        <w:t>&lt;--&gt;</w:t>
      </w:r>
      <w:r>
        <w:t>). Use flat links (</w:t>
      </w:r>
      <w:r>
        <w:rPr>
          <w:rFonts w:ascii="Consolas" w:hAnsi="Consolas"/>
        </w:rPr>
        <w:t>---</w:t>
      </w:r>
      <w:r>
        <w:t>) or distinct directional paths (</w:t>
      </w:r>
      <w:r>
        <w:rPr>
          <w:rFonts w:ascii="Consolas" w:hAnsi="Consolas"/>
        </w:rPr>
        <w:t>--&gt;</w:t>
      </w:r>
      <w:r>
        <w:t xml:space="preserve"> and </w:t>
      </w:r>
      <w:r>
        <w:rPr>
          <w:rFonts w:ascii="Consolas" w:hAnsi="Consolas"/>
        </w:rPr>
        <w:t>&lt;--</w:t>
      </w:r>
      <w:r>
        <w:t>) instead.</w:t>
      </w:r>
    </w:p>
    <w:p>
      <w:pPr>
        <w:pStyle w:val="ListBullet"/>
        <w:ind w:left="720"/>
      </w:pPr>
      <w:r>
        <w:rPr>
          <w:b/>
        </w:rPr>
        <w:t>Safe Labels:</w:t>
      </w:r>
      <w:r>
        <w:t xml:space="preserve"> Use double quotes around transition labels that contain special characters, slashes, or parentheses to prevent rendering errors (e.g., </w:t>
      </w:r>
      <w:r>
        <w:rPr>
          <w:rFonts w:ascii="Consolas" w:hAnsi="Consolas"/>
        </w:rPr>
        <w:t>--&gt;|"Label (SF-85/86)"|</w:t>
      </w:r>
      <w:r>
        <w:t>).</w:t>
      </w:r>
    </w:p>
    <w:p>
      <w:pPr>
        <w:pStyle w:val="Heading3"/>
      </w:pPr>
      <w:r>
        <w:t>Rule 3: Comprehensive Citation Tracking</w:t>
      </w:r>
    </w:p>
    <w:p>
      <w:r>
        <w:t xml:space="preserve">No architecture claim, statutory reference, or security control mapping may be written without an explicit reference. Every citation must be logged in the companion </w:t>
      </w:r>
      <w:r>
        <w:rPr>
          <w:b/>
        </w:rPr>
        <w:t>BIES Citation Tracker Spreadsheet</w:t>
      </w:r>
      <w:r>
        <w:t xml:space="preserve"> (detailed in Section 7.0 of this document) to ensure complete alignment with the Risk Management Framework (RMF).</w:t>
      </w:r>
    </w:p>
    <w:p>
      <w:pPr>
        <w:pBdr>
          <w:bottom w:val="single" w:sz="6" w:space="1" w:color="808080"/>
        </w:pBdr>
      </w:pPr>
    </w:p>
    <w:p>
      <w:pPr>
        <w:pStyle w:val="Heading2"/>
      </w:pPr>
      <w:r>
        <w:t>3.0 Version Control &amp; Configuration Management</w:t>
      </w:r>
    </w:p>
    <w:p>
      <w:r>
        <w:t xml:space="preserve">All documents, guidelines, templates, and Mermaid.js source files must be managed within the </w:t>
      </w:r>
      <w:r>
        <w:rPr>
          <w:rFonts w:ascii="Consolas" w:hAnsi="Consolas"/>
        </w:rPr>
        <w:t>Architecture1</w:t>
      </w:r>
      <w:r>
        <w:t xml:space="preserve"> GitHub repository.</w:t>
      </w:r>
    </w:p>
    <w:p>
      <w:pPr>
        <w:pStyle w:val="ListBullet"/>
      </w:pPr>
      <w:r>
        <w:rPr>
          <w:b/>
        </w:rPr>
        <w:t>Repository Name:</w:t>
      </w:r>
      <w:r>
        <w:t xml:space="preserve"> </w:t>
      </w:r>
      <w:r>
        <w:rPr>
          <w:rFonts w:ascii="Consolas" w:hAnsi="Consolas"/>
        </w:rPr>
        <w:t>Architecture1</w:t>
      </w:r>
      <w:r>
        <w:t xml:space="preserve"> (strictly alphanumeric, no spaces).</w:t>
      </w:r>
    </w:p>
    <w:p>
      <w:pPr>
        <w:pStyle w:val="ListBullet"/>
      </w:pPr>
      <w:r>
        <w:rPr>
          <w:b/>
        </w:rPr>
        <w:t>Branching Strategy:</w:t>
      </w:r>
      <w:r>
        <w:t xml:space="preserve"> Main architectural changes must be proposed via pull requests and reviewed by the BIES Chief Engineer before merging into the main branch.</w:t>
      </w:r>
    </w:p>
    <w:p>
      <w:pPr>
        <w:pStyle w:val="ListBullet"/>
      </w:pPr>
      <w:r>
        <w:rPr>
          <w:b/>
        </w:rPr>
        <w:t>Format:</w:t>
      </w:r>
      <w:r>
        <w:t xml:space="preserve"> Documents must be maintained in clean Markdown (</w:t>
      </w:r>
      <w:r>
        <w:rPr>
          <w:rFonts w:ascii="Consolas" w:hAnsi="Consolas"/>
        </w:rPr>
        <w:t>.md</w:t>
      </w:r>
      <w:r>
        <w:t>) format to ensure they can be easily parsed by automated documentation generators and static site builders.</w:t>
      </w:r>
    </w:p>
    <w:p>
      <w:pPr>
        <w:pBdr>
          <w:bottom w:val="single" w:sz="6" w:space="1" w:color="808080"/>
        </w:pBdr>
      </w:pPr>
    </w:p>
    <w:p>
      <w:pPr>
        <w:pStyle w:val="Heading1"/>
      </w:pPr>
      <w:r>
        <w:t>PART B: SYSTEM OF SYSTEMS ARCHITECTURE GUIDELINES</w:t>
      </w:r>
    </w:p>
    <w:p>
      <w:pPr>
        <w:pStyle w:val="Heading2"/>
      </w:pPr>
      <w:r>
        <w:t>1.0 Introduction and Executive Summary</w:t>
      </w:r>
    </w:p>
    <w:p>
      <w:pPr>
        <w:pStyle w:val="Heading3"/>
      </w:pPr>
      <w:r>
        <w:t>1.1 Purpose and Scope of the Guidelines</w:t>
      </w:r>
    </w:p>
    <w:p>
      <w:r>
        <w:t>This document establishes the official architectural guidelines for the Defense Counterintelligence and Security Agency (DCSA) Background Investigation Enterprise System (BIES) portfolio of systems. The primary purpose is to define a standardized framework for documenting, managing, and modernizing the high-value IT systems that support federal personnel vetting and security clearance investigations.</w:t>
      </w:r>
    </w:p>
    <w:p>
      <w:r>
        <w:t>These guidelines bridge the gap between "As-Is" legacy IT environments and the target "To-Be" cloud-native environments, providing systems engineers, enterprise architects, and security officers with a single source of truth for engineering decisions.</w:t>
      </w:r>
    </w:p>
    <w:p>
      <w:pPr>
        <w:pStyle w:val="Heading3"/>
      </w:pPr>
      <w:r>
        <w:t>1.2 The BIES Mission &amp; Portfolio (CPB, PIPS, and the DCSA Mandate)</w:t>
      </w:r>
    </w:p>
    <w:p>
      <w:r>
        <w:t xml:space="preserve">The BIES Case Processing Branch (CPB) is directly responsible for the security, development, enhancements, maintenance, and production support of DCSA's legacy core engine, the </w:t>
      </w:r>
      <w:r>
        <w:rPr>
          <w:b/>
        </w:rPr>
        <w:t>Personal Investigation Processing System (PIPS)</w:t>
      </w:r>
      <w:r>
        <w:t>.</w:t>
      </w:r>
    </w:p>
    <w:p>
      <w:r>
        <w:t>PIPS serves as the operational backbone for background investigations end-to-end. The system coordinates the following core capabilities:</w:t>
      </w:r>
    </w:p>
    <w:p>
      <w:pPr>
        <w:pStyle w:val="ListBullet"/>
      </w:pPr>
      <w:r>
        <w:rPr>
          <w:b/>
        </w:rPr>
        <w:t>Ingestion:</w:t>
      </w:r>
      <w:r>
        <w:t xml:space="preserve"> Accepting subject-entered background investigation data from e-QIP.</w:t>
      </w:r>
    </w:p>
    <w:p>
      <w:pPr>
        <w:pStyle w:val="ListBullet"/>
      </w:pPr>
      <w:r>
        <w:rPr>
          <w:b/>
        </w:rPr>
        <w:t>Scoping &amp; Tasking:</w:t>
      </w:r>
      <w:r>
        <w:t xml:space="preserve"> Automatically identifying investigative leads and distributing work to field investigators.</w:t>
      </w:r>
    </w:p>
    <w:p>
      <w:pPr>
        <w:pStyle w:val="ListBullet"/>
      </w:pPr>
      <w:r>
        <w:rPr>
          <w:b/>
        </w:rPr>
        <w:t>External Checks:</w:t>
      </w:r>
      <w:r>
        <w:t xml:space="preserve"> Facilitating automated National Agency Checks (such as transmitting fingerprint searches directly to the FBI).</w:t>
      </w:r>
    </w:p>
    <w:p>
      <w:pPr>
        <w:pStyle w:val="ListBullet"/>
      </w:pPr>
      <w:r>
        <w:rPr>
          <w:b/>
        </w:rPr>
        <w:t>Case Management:</w:t>
      </w:r>
      <w:r>
        <w:t xml:space="preserve"> Supporting internal reviews, systematically closing cases, and packaging completed investigations for delivery.</w:t>
      </w:r>
    </w:p>
    <w:p>
      <w:pPr>
        <w:pStyle w:val="ListBullet"/>
      </w:pPr>
      <w:r>
        <w:rPr>
          <w:b/>
        </w:rPr>
        <w:t>Adjudication Support:</w:t>
      </w:r>
      <w:r>
        <w:t xml:space="preserve"> Providing an automated gateway for external customer agencies to upload adjudication results and security clearance details into DCSA's Central Verification System (CVS).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LR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A["1. Ingestion (e-QIP)"] --&gt; B["2. Scoping &amp; Tasking (PIPS)"]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 C["3. External Checks (FTS / ARC-Nlets)"]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 --&gt; D["4. Case Management &amp; Closure (PIPS / OPIS)"]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 --&gt; E["5. Adjudication &amp; Clearance (CVS)"]</w:t>
      </w:r>
    </w:p>
    <w:p>
      <w:pPr>
        <w:pStyle w:val="Heading3"/>
      </w:pPr>
      <w:r>
        <w:t>1.3 Transition Strategy: Aligning "As-Is" Structures to the "To-Be" NBIS AWS Cloud</w:t>
      </w:r>
    </w:p>
    <w:p>
      <w:r>
        <w:t xml:space="preserve">The long-term objective of the BIES portfolio is a transition to the modernized </w:t>
      </w:r>
      <w:r>
        <w:rPr>
          <w:b/>
        </w:rPr>
        <w:t>National Background Investigation Services (NBIS)</w:t>
      </w:r>
      <w:r>
        <w:t xml:space="preserve"> ecosystem. To support this evolutionary journey, current BIES IT environments must be securely hosted in a specialized </w:t>
      </w:r>
      <w:r>
        <w:rPr>
          <w:b/>
        </w:rPr>
        <w:t>DCSA instance of an AWS Cloud (AWS GovCloud)</w:t>
      </w:r>
      <w:r>
        <w:t>.</w:t>
      </w:r>
    </w:p>
    <w:p>
      <w:r>
        <w:t>This cloud transition must be carefully managed to prevent operational downtime. Systems like e-QIP, ARC-Nlets, FTS, and PIPS must co-exist as hybrid applications, securely sharing database states while logical components are decoupled, refactored, and migrated to cloud-native managed services.</w:t>
      </w:r>
    </w:p>
    <w:p>
      <w:pPr>
        <w:pBdr>
          <w:bottom w:val="single" w:sz="6" w:space="1" w:color="808080"/>
        </w:pBdr>
      </w:pPr>
    </w:p>
    <w:p>
      <w:pPr>
        <w:pStyle w:val="Heading2"/>
      </w:pPr>
      <w:r>
        <w:t>2.0 Architectural Framework and Decomposition Taxonomy</w:t>
      </w:r>
    </w:p>
    <w:p>
      <w:pPr>
        <w:pStyle w:val="Heading3"/>
      </w:pPr>
      <w:r>
        <w:t>2.1 Business Process Decomposition (L1 E2E ➔ L4 Physical Deployment)</w:t>
      </w:r>
    </w:p>
    <w:p>
      <w:r>
        <w:t>The BIES Enterprise Architecture is structured around a four-level process decomposition model to ensure strict traceability from high-level mission goals down to the physical systems and lines of code executing those processes:</w:t>
      </w:r>
    </w:p>
    <w:p>
      <w:pPr>
        <w:pStyle w:val="ListNumber"/>
      </w:pPr>
      <w:r>
        <w:rPr>
          <w:b/>
        </w:rPr>
        <w:t>Level 1 (L1) - End-to-End (E2E) Stages:</w:t>
      </w:r>
      <w:r>
        <w:t xml:space="preserve"> High-level operational milestones defining the background investigation lifecycle (e.g., Ingest, Investigate, Close, Adjudicate).</w:t>
      </w:r>
    </w:p>
    <w:p>
      <w:pPr>
        <w:pStyle w:val="ListNumber"/>
      </w:pPr>
      <w:r>
        <w:rPr>
          <w:b/>
        </w:rPr>
        <w:t>Level 2 (L2) - Business Activities:</w:t>
      </w:r>
      <w:r>
        <w:t xml:space="preserve"> Discrete operational workflows executed by human actors or automated backend systems (e.g., e-QIP Ingestion, Fingerprint Verification, State Law Checks).</w:t>
      </w:r>
    </w:p>
    <w:p>
      <w:pPr>
        <w:pStyle w:val="ListNumber"/>
      </w:pPr>
      <w:r>
        <w:rPr>
          <w:b/>
        </w:rPr>
        <w:t>Level 3 (L3) - Logical Components &amp; Interfaces:</w:t>
      </w:r>
      <w:r>
        <w:t xml:space="preserve"> The specific High-Value Asset (HVA) software components, APIs, and messaging gateways executing an L2 activity (e.g., DataMaxx Core Broker executing Nlets queries).</w:t>
      </w:r>
    </w:p>
    <w:p>
      <w:pPr>
        <w:pStyle w:val="ListNumber"/>
      </w:pPr>
      <w:r>
        <w:rPr>
          <w:b/>
        </w:rPr>
        <w:t>Level 4 (L4) - Physical Deployment:</w:t>
      </w:r>
      <w:r>
        <w:t xml:space="preserve"> The execution environments, virtual servers, container tasks, and storage buckets where the L3 components physically run.</w:t>
      </w:r>
    </w:p>
    <w:p>
      <w:pPr>
        <w:pStyle w:val="Heading3"/>
      </w:pPr>
      <w:r>
        <w:t>2.2 Structural SysML Taxonomy Definitions</w:t>
      </w:r>
    </w:p>
    <w:p>
      <w:r>
        <w:t>To maintain model consistency in our Model-Based Systems Engineering (MBSE) tools, the physical and logical structure of every HVA must be categorized using four taxonomy levels:</w:t>
      </w:r>
    </w:p>
    <w:p>
      <w:pPr>
        <w:pStyle w:val="ListBullet"/>
      </w:pPr>
      <w:r>
        <w:rPr>
          <w:b/>
        </w:rPr>
        <w:t>System (The HVA):</w:t>
      </w:r>
      <w:r>
        <w:t xml:space="preserve"> A complete, self-contained system within the BIES portfolio that delivers an end-to-end capability (e.g., e-QIP, ARC-Nlets, FTS, PIPS).</w:t>
      </w:r>
    </w:p>
    <w:p>
      <w:pPr>
        <w:pStyle w:val="ListBullet"/>
      </w:pPr>
      <w:r>
        <w:rPr>
          <w:b/>
        </w:rPr>
        <w:t>Block (Logical Subsystems):</w:t>
      </w:r>
      <w:r>
        <w:t xml:space="preserve"> A primary architectural tier, network zone, or collection of functional servers within a system (e.g., the Web/Ingress Tier, the Database Tier).</w:t>
      </w:r>
    </w:p>
    <w:p>
      <w:pPr>
        <w:pStyle w:val="ListBullet"/>
      </w:pPr>
      <w:r>
        <w:rPr>
          <w:b/>
        </w:rPr>
        <w:t>Component (Software Modules):</w:t>
      </w:r>
      <w:r>
        <w:t xml:space="preserve"> An encapsulated, replaceable unit of software within a Block that performs a specific set of operations (e.g., Oracle Access Manager, DataMaxx Core Broker).</w:t>
      </w:r>
    </w:p>
    <w:p>
      <w:pPr>
        <w:pStyle w:val="ListBullet"/>
      </w:pPr>
      <w:r>
        <w:rPr>
          <w:b/>
        </w:rPr>
        <w:t>Part (Runtime Instances / Artifacts):</w:t>
      </w:r>
      <w:r>
        <w:t xml:space="preserve"> The atomic, executable files, schemas, or configuration keys that compose a component in a physical deployment (e.g., </w:t>
      </w:r>
      <w:r>
        <w:rPr>
          <w:rFonts w:ascii="Consolas" w:hAnsi="Consolas"/>
        </w:rPr>
        <w:t>dm_core.jar</w:t>
      </w:r>
      <w:r>
        <w:t xml:space="preserve">, </w:t>
      </w:r>
      <w:r>
        <w:rPr>
          <w:rFonts w:ascii="Consolas" w:hAnsi="Consolas"/>
        </w:rPr>
        <w:t>web.xml</w:t>
      </w:r>
      <w:r>
        <w:t>).</w:t>
      </w:r>
    </w:p>
    <w:p>
      <w:pPr>
        <w:pStyle w:val="Heading3"/>
      </w:pPr>
      <w:r>
        <w:t>2.3 Vertical Traceability: Linking Mission Goals to Execution Nodes</w:t>
      </w:r>
    </w:p>
    <w:p>
      <w:r>
        <w:t>By combining the process decomposition and structural taxonomies, architects can vertically trace a high-level security requirement down to a physical asset in AWS GovCloud. This traceability is critical for managing Risk Management Framework (RMF) inheritance.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Sys["System (e.g., ARC-Nlets HVA)"] --&gt;|Maps to| AWS["AWS GovCloud Account / VPC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Block["Block (e.g., Processing Tier)"] --&gt;|Maps to| Subnet["VPC Private Subnet &amp; Security Group"]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Comp["Component (e.g., DataMaxx Core Broker)"] --&gt;|Maps to| Compute["Amazon EC2 / RDS Instance"]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Part["Part (e.g., dm_core.jar / config.xml)"] --&gt;|Maps to| Artifact["Deployment Artifact / SSM Parameter"]</w:t>
      </w:r>
    </w:p>
    <w:p>
      <w:pPr>
        <w:pBdr>
          <w:bottom w:val="single" w:sz="6" w:space="1" w:color="808080"/>
        </w:pBdr>
      </w:pPr>
    </w:p>
    <w:p>
      <w:pPr>
        <w:pStyle w:val="Heading2"/>
      </w:pPr>
      <w:r>
        <w:t>3.0 Standardized Architectural Products (The 3 Primary Views)</w:t>
      </w:r>
    </w:p>
    <w:p>
      <w:pPr>
        <w:pStyle w:val="Heading3"/>
      </w:pPr>
      <w:r>
        <w:t>3.1 Alignment with UAF / DoDAF Frameworks</w:t>
      </w:r>
    </w:p>
    <w:p>
      <w:r>
        <w:t xml:space="preserve">To meet federal compliance mandates, BIES architecture must be documented using standardized views aligned with the </w:t>
      </w:r>
      <w:r>
        <w:rPr>
          <w:b/>
        </w:rPr>
        <w:t>Unified Architecture Framework (UAF)</w:t>
      </w:r>
      <w:r>
        <w:t xml:space="preserve"> (which succeeds and incorporates DoDAF). The BIES modeling standard requires three primary views for each High-Value Asset (HVA). Together, these views document the "What", the "How", and the "Where" of the system: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Context["1. Context Diagram (Lr-Ic / L-Ic)&lt;br&gt;Defines Security Boundary &amp; External Nodes"] --&gt;|Traces to| Component["2. Component Diagram (Lr-Is)&lt;br&gt;Defines Internal Software Modules &amp; Interfaces"]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Component --&gt;|Traces to| Deployment["3. Deployment Diagram (Pr)&lt;br&gt;Maps Artifacts to Execution Environments &amp; Hardware"]</w:t>
      </w:r>
    </w:p>
    <w:p>
      <w:pPr>
        <w:pStyle w:val="Heading3"/>
      </w:pPr>
      <w:r>
        <w:t>3.2 System Context Diagrams (Boundary &amp; External Integration)</w:t>
      </w:r>
    </w:p>
    <w:p>
      <w:pPr>
        <w:pStyle w:val="ListBullet"/>
      </w:pPr>
      <w:r>
        <w:rPr>
          <w:b/>
        </w:rPr>
        <w:t>UAF Mapping:</w:t>
      </w:r>
      <w:r>
        <w:t xml:space="preserve"> Resource Connectivity (</w:t>
      </w:r>
      <w:r>
        <w:rPr>
          <w:rFonts w:ascii="Consolas" w:hAnsi="Consolas"/>
        </w:rPr>
        <w:t>Lr-Ic</w:t>
      </w:r>
      <w:r>
        <w:t xml:space="preserve"> / Legacy DoDAF </w:t>
      </w:r>
      <w:r>
        <w:rPr>
          <w:rFonts w:ascii="Consolas" w:hAnsi="Consolas"/>
        </w:rPr>
        <w:t>SV-1</w:t>
      </w:r>
      <w:r>
        <w:t xml:space="preserve"> / </w:t>
      </w:r>
      <w:r>
        <w:rPr>
          <w:rFonts w:ascii="Consolas" w:hAnsi="Consolas"/>
        </w:rPr>
        <w:t>OV-2</w:t>
      </w:r>
      <w:r>
        <w:t>)</w:t>
      </w:r>
    </w:p>
    <w:p>
      <w:pPr>
        <w:pStyle w:val="ListBullet"/>
      </w:pPr>
      <w:r>
        <w:rPr>
          <w:b/>
        </w:rPr>
        <w:t>Objective:</w:t>
      </w:r>
      <w:r>
        <w:t xml:space="preserve"> The System Context Diagram models the system as a "black box" inside an explicit </w:t>
      </w:r>
      <w:r>
        <w:rPr>
          <w:b/>
        </w:rPr>
        <w:t>Security Boundary</w:t>
      </w:r>
      <w:r>
        <w:t>. It identifies all external systems (actors, portals, external networks) and documents every data flow crossing the boundary, including the associated network ports, encryption standards, and logical protocols.</w:t>
      </w:r>
    </w:p>
    <w:p>
      <w:pPr>
        <w:pStyle w:val="ListBullet"/>
      </w:pPr>
      <w:r>
        <w:rPr>
          <w:b/>
        </w:rPr>
        <w:t>Key Guidelines:</w:t>
      </w:r>
      <w:r>
        <w:t xml:space="preserve"> Never model internal database tables or local server subnets on a Context Diagram. Keep the focus entirely on the interfaces crossing the security boundary.</w:t>
      </w:r>
    </w:p>
    <w:p>
      <w:pPr>
        <w:pStyle w:val="Heading3"/>
      </w:pPr>
      <w:r>
        <w:t>3.3 Component Diagrams (Logical Software Architecture)</w:t>
      </w:r>
    </w:p>
    <w:p>
      <w:pPr>
        <w:pStyle w:val="ListBullet"/>
      </w:pPr>
      <w:r>
        <w:rPr>
          <w:b/>
        </w:rPr>
        <w:t>UAF Mapping:</w:t>
      </w:r>
      <w:r>
        <w:t xml:space="preserve"> Resource Structure (</w:t>
      </w:r>
      <w:r>
        <w:rPr>
          <w:rFonts w:ascii="Consolas" w:hAnsi="Consolas"/>
        </w:rPr>
        <w:t>Lr-Is</w:t>
      </w:r>
      <w:r>
        <w:t xml:space="preserve"> / Legacy DoDAF </w:t>
      </w:r>
      <w:r>
        <w:rPr>
          <w:rFonts w:ascii="Consolas" w:hAnsi="Consolas"/>
        </w:rPr>
        <w:t>SV-1</w:t>
      </w:r>
      <w:r>
        <w:t>)</w:t>
      </w:r>
    </w:p>
    <w:p>
      <w:pPr>
        <w:pStyle w:val="ListBullet"/>
      </w:pPr>
      <w:r>
        <w:rPr>
          <w:b/>
        </w:rPr>
        <w:t>Objective:</w:t>
      </w:r>
      <w:r>
        <w:t xml:space="preserve"> The Component Diagram peers inside the security boundary established in the Context Diagram. It details the logical software architecture by showing how various modular blocks of code, microservices, databases, and application frameworks interact.</w:t>
      </w:r>
    </w:p>
    <w:p>
      <w:pPr>
        <w:pStyle w:val="ListBullet"/>
      </w:pPr>
      <w:r>
        <w:rPr>
          <w:b/>
        </w:rPr>
        <w:t>Key Guidelines:</w:t>
      </w:r>
      <w:r>
        <w:t xml:space="preserve"> Model software modules and logical dependencies (e.g., </w:t>
      </w:r>
      <w:r>
        <w:rPr>
          <w:rFonts w:ascii="Consolas" w:hAnsi="Consolas"/>
        </w:rPr>
        <w:t>.war</w:t>
      </w:r>
      <w:r>
        <w:t xml:space="preserve"> web apps, directory sync modules, identity policy managers) without specifying physical execution nodes or virtual hardware.</w:t>
      </w:r>
    </w:p>
    <w:p>
      <w:pPr>
        <w:pStyle w:val="Heading3"/>
      </w:pPr>
      <w:r>
        <w:t>3.4 Deployment Diagrams (Physical Hardware / Execution Mapping)</w:t>
      </w:r>
    </w:p>
    <w:p>
      <w:pPr>
        <w:pStyle w:val="ListBullet"/>
      </w:pPr>
      <w:r>
        <w:rPr>
          <w:b/>
        </w:rPr>
        <w:t>UAF Mapping:</w:t>
      </w:r>
      <w:r>
        <w:t xml:space="preserve"> Physical Resource (</w:t>
      </w:r>
      <w:r>
        <w:rPr>
          <w:rFonts w:ascii="Consolas" w:hAnsi="Consolas"/>
        </w:rPr>
        <w:t>Pr</w:t>
      </w:r>
      <w:r>
        <w:t xml:space="preserve"> / Legacy DoDAF </w:t>
      </w:r>
      <w:r>
        <w:rPr>
          <w:rFonts w:ascii="Consolas" w:hAnsi="Consolas"/>
        </w:rPr>
        <w:t>SV-2</w:t>
      </w:r>
      <w:r>
        <w:t>)</w:t>
      </w:r>
    </w:p>
    <w:p>
      <w:pPr>
        <w:pStyle w:val="ListBullet"/>
      </w:pPr>
      <w:r>
        <w:rPr>
          <w:b/>
        </w:rPr>
        <w:t>Objective:</w:t>
      </w:r>
      <w:r>
        <w:t xml:space="preserve"> The Deployment Diagram acts as the physical execution blueprint. It maps the logical software components identified in the Component Diagram onto physical or virtual infrastructure nodes (e.g., virtual machines, database instances, hardware firewalls, cloud-native endpoints).</w:t>
      </w:r>
    </w:p>
    <w:p>
      <w:pPr>
        <w:pStyle w:val="ListBullet"/>
      </w:pPr>
      <w:r>
        <w:rPr>
          <w:b/>
        </w:rPr>
        <w:t>Key Guidelines:</w:t>
      </w:r>
      <w:r>
        <w:t xml:space="preserve"> Document exact deployment locations (e.g., Boyers, PA vs. Macon, GA sites), virtual switches, operating system versions, and communication ports utilized in the physical execution environment.</w:t>
      </w:r>
    </w:p>
    <w:p>
      <w:pPr>
        <w:pBdr>
          <w:bottom w:val="single" w:sz="6" w:space="1" w:color="808080"/>
        </w:pBdr>
      </w:pPr>
    </w:p>
    <w:p>
      <w:pPr>
        <w:pStyle w:val="Heading2"/>
      </w:pPr>
      <w:r>
        <w:t>4.0 "As-Is" Baseline Architectural Profiles</w:t>
      </w:r>
    </w:p>
    <w:p>
      <w:r>
        <w:t>This section details the baseline profiles for three key High-Value Assets (HVAs) in the BIES portfolio. These profiles serve as the foundation for transition planning and cloud-migration design.</w:t>
      </w:r>
    </w:p>
    <w:p>
      <w:pPr>
        <w:pStyle w:val="Heading3"/>
      </w:pPr>
      <w:r>
        <w:t>4.1 ARC-Nlets: Automated Records Check Gateway</w:t>
      </w:r>
    </w:p>
    <w:p>
      <w:pPr>
        <w:pStyle w:val="ListBullet"/>
      </w:pPr>
      <w:r>
        <w:rPr>
          <w:b/>
        </w:rPr>
        <w:t>System Concept:</w:t>
      </w:r>
      <w:r>
        <w:t xml:space="preserve"> ARC-Nlets is the automated interface designed to execute local, state, and international law enforcement record checks across a national network connecting 24 states and Canada. It drastically reduces manual verification backlogs.</w:t>
      </w:r>
    </w:p>
    <w:p>
      <w:pPr>
        <w:pStyle w:val="ListBullet"/>
      </w:pPr>
      <w:r>
        <w:rPr>
          <w:b/>
        </w:rPr>
        <w:t>Key Interfaces:</w:t>
      </w:r>
      <w:r>
        <w:t xml:space="preserve"> Communicates with the external Nlets Data Center via hardware-accelerated IPSec VPN tunnels and interfaces internally with NFW (Non-Field Work) via secure SOAP/REST TLS 1.2 web services.</w:t>
      </w:r>
    </w:p>
    <w:p>
      <w:pPr>
        <w:pStyle w:val="ListBullet"/>
      </w:pPr>
      <w:r>
        <w:rPr>
          <w:b/>
        </w:rPr>
        <w:t>Identity Management:</w:t>
      </w:r>
      <w:r>
        <w:t xml:space="preserve"> Leverages the centralized BIES IdAM solution via NP2 Portal PIV authentication.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Actors and Edge Security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External_Actors ["External Actors &amp; Ingress"]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A["Automated Leads Users&lt;br&gt;~50 at Ft. Meade"]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Akamai["Akamai Edge&lt;br&gt;WAF &amp; Caching"]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Identity Provider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Identity_Mgmt ["BIES Identity 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NP2["NP2 DCSA IS Portal&lt;br&gt;BIES IDAM Solution / PIV"]</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BIES Internal Core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BIES_Core ["BIES Core Systems"]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NFW["NFW System&lt;br&gt;(Non-Field 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ARC-Nlets System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ARC_Nlets_Boundary ["ARC-Nlets Security Boundary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ARC_Nlets_Core ["DataMaxx Solution"]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App_Server["Application 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Web_Server["Web 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DB_Server["Database 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Interfaces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External_Partners ["External Partners"]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Nlets_DC["Nlets Data Center&lt;br&gt;(24 States &amp; Canada)"]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Administrative 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Admin_Mgmt ["Administrative Access"]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P_User["P-User&lt;br&gt;(DBA / Sys Admin)"]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LDAP["NM LDAP"]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Connections and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 --&gt;|Initiates Automated Leads| Akamai</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Akamai --&gt;|HTTPS / Identity Token| NP2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NP2 --&gt;|HTTPS Authentication| Web_Server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NFW System Integration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NFW --&gt;|TLS 1.2 Web Services&lt;br&gt;Created Nlets Request File| App_Server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App_Server --&gt;|TLS 1.2 Web Services&lt;br&gt;Compiled Nlets Query Results| NFW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Nlets Communication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App_Server ---|"IPSec VPN Tunnel (TLS 1.2)&lt;br&gt;Queries &amp; Results"| Nlets_DC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Administration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P_User --&gt;|Secure VPN / Intranet| ARC_Nlets_Core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P_User --&gt;|Admin Identity Verification| LDAP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boundary fill:#f5f5f7,stroke:#1d1d1f,stroke-width:2px;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hva fill:#e8f0fe,stroke:#1a73e8,stroke-width:2px;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external fill:#fce8e6,stroke:#d93025,stroke-width:2px;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ARC_Nlets_Boundary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ARC_Nlets_Core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Nlets_DC,Akamai external;</w:t>
      </w:r>
    </w:p>
    <w:p>
      <w:pPr>
        <w:pStyle w:val="Heading3"/>
      </w:pPr>
      <w:r>
        <w:t>4.2 eQIP: Electronic Questionnaires Ingress</w:t>
      </w:r>
    </w:p>
    <w:p>
      <w:pPr>
        <w:pStyle w:val="ListBullet"/>
      </w:pPr>
      <w:r>
        <w:rPr>
          <w:b/>
        </w:rPr>
        <w:t>System Concept:</w:t>
      </w:r>
      <w:r>
        <w:t xml:space="preserve"> eQIP acts as the public-facing gateway allowing federal background investigation candidates (subjects) to enter security clearance questionnaires (SF-85, SF-85P, SF-86) and enabling agency representatives to initiate and validate candidate questionnaires.</w:t>
      </w:r>
    </w:p>
    <w:p>
      <w:pPr>
        <w:pStyle w:val="ListBullet"/>
      </w:pPr>
      <w:r>
        <w:rPr>
          <w:b/>
        </w:rPr>
        <w:t>Boundary Rules:</w:t>
      </w:r>
      <w:r>
        <w:t xml:space="preserve"> Its boundary isolates the external web questionnaire intake from the highly protected internal PIPS case processing engine. Data from eQIP is certified, compiled into structural XML files, and transferred over secure boundaries into PIPS database queues.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Actors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External_Actors ["External Users"]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Applicant["Applicant / Subject&lt;br&gt;Completes SF-85/86"]</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Agency_User["Agency Security Officer&lt;br&gt;Initiates &amp; Reviews"]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Edge Security /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Edge_Security ["Internet Edge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Akamai["Akamai Edge&lt;br&gt;WAF &amp; TLS Ingress"]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eQIP Security Boundary (System Under Test)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eQIP_Boundary ["eQIP Security Boundary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eQIP_System["&lt;b style='font-size:1.1em'&gt;eQIP System&lt;/b&gt;&lt;br&gt;&lt;br&gt;Web Portal &amp; Application Core&lt;br&gt;Questionnaire Database"]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BIES Internal Core Systems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BIES_Core ["BIES Core Processing"]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PIPS["PIPS System&lt;br&gt;Personnel Investigations Processing"]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User Interactions and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Applicant --&gt;|HTTPS / Enters Personal Data| Akamai</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Agency_User --&gt;|HTTPS / Initiates &amp; Approves| Akamai</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Akamai --&gt;|Secure Web Traffic| eQIP_System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Core System Integrations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eQIP_System --&gt;|"Secure Data Transfer&lt;br&gt;Subject-Entered Data (SF-85/86)"| PIPS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Styling Definitions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boundary fill:#f9f9f9,stroke:#333,stroke-width:2px;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hva fill:#e3f2fd,stroke:#1565c0,stroke-width:2px;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external fill:#fbe9e7,stroke:#d84315,stroke-width:2px;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internal fill:#e8f5e9,stroke:#2e7d32,stroke-width:2px;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eQIP_Boundary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eQIP_System hva;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Applicant,Agency_User,Akamai external;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PIPS internal;</w:t>
      </w:r>
    </w:p>
    <w:p>
      <w:pPr>
        <w:pStyle w:val="Heading3"/>
      </w:pPr>
      <w:r>
        <w:t>4.3 NP2: New Public Portal Topology</w:t>
      </w:r>
    </w:p>
    <w:p>
      <w:pPr>
        <w:pStyle w:val="ListBullet"/>
      </w:pPr>
      <w:r>
        <w:rPr>
          <w:b/>
        </w:rPr>
        <w:t>Multi-Site Operational Environments:</w:t>
      </w:r>
      <w:r>
        <w:t xml:space="preserve"> NP2 is physically separated across Boyers, PA (Primary Production and UAT environments) and Macon, GA (COOP and ITG environments) to ensure continuous availability.</w:t>
      </w:r>
    </w:p>
    <w:p>
      <w:pPr>
        <w:pStyle w:val="ListBullet"/>
      </w:pPr>
      <w:r>
        <w:rPr>
          <w:b/>
        </w:rPr>
        <w:t>Network Segmentation:</w:t>
      </w:r>
      <w:r>
        <w:t xml:space="preserve"> Enforces a rigid 3-tier architecture with separate VLANs isolating Oracle HTTP web frontends (Webserver VLAN), logical Weblogic portal environments (Application VLAN), and back-end Oracle 19c / OUD directory nodes (Database 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Internet ["Internet Zone"]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A[NP2 General User]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Akamai ["Akamai CDN"]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B[Akamai CDN]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NIPRNet ["NIPRNet Network"]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C[NIPRNet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NP2_Production_Authorization_Boundary ["NP2 Production (Boyers)"]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Web_VLAN ["Webserver 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W1[boy-npprdweb01&lt;br&gt;Oracle HTTP 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W2[boy-npprdweb02&lt;br&gt;Oracle HTTP Server]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App_VLAN ["Application 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SOA1[boy-npprdsoa01&lt;br&gt;Oracle SOA]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SOA2[boy-npprdsoa02&lt;br&gt;Oracle SOA]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IAM1[boy-npprdiam01&lt;br&gt;Oracle Access Mgr]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IAM2[boy-npprdiam02&lt;br&gt;Oracle Access Mgr]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OIG1[boy-npprodig01&lt;br&gt;Identity Governance]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OIG2[boy-npprodig02&lt;br&gt;Identity Governance]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WCP1[boy-npprdapp01&lt;br&gt;WebCenter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WCP2[boy-npprdapp02&lt;br&gt;WebCenter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WCP3[boy-npprdapp03&lt;br&gt;WebCenter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WCP4[boy-npprdapp04&lt;br&gt;WebCenter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DB_VLAN ["Database 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DB1[boy-epprddb03&lt;br&gt;Oracle 19c DB]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DB2[boy-epprddb04&lt;br&gt;Oracle 19c DB]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OUD1[boy-npprdoud01&lt;br&gt;Oracle Unified Directory]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OUD2[boy-npprdoud02&lt;br&gt;Oracle Unified Directory]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Connections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W1 &amp; W2 --&gt; App_VLAN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App_VLAN --&gt; DB_VLAN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App_VLAN --&gt; OUD1 &amp; OUD2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External Flow</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 --&gt; 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 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 --&gt; W1 &amp; W2</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Style Definitions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border stroke:#ff0000,stroke-width:2px,stroke-dasharray:5 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NP2_Production_Authorization_Boundary border</w:t>
      </w:r>
    </w:p>
    <w:p>
      <w:pPr>
        <w:pBdr>
          <w:bottom w:val="single" w:sz="6" w:space="1" w:color="808080"/>
        </w:pBdr>
      </w:pPr>
    </w:p>
    <w:p>
      <w:pPr>
        <w:pStyle w:val="Heading2"/>
      </w:pPr>
      <w:r>
        <w:t>5.0 Cloud Transition: Implications for AWS GovCloud (IL5)</w:t>
      </w:r>
    </w:p>
    <w:p>
      <w:r>
        <w:t>Migrating BIES systems into AWS GovCloud under Department of War (DoW) IL5 guidance introduces major changes to logical segmentation and deployment processes.</w:t>
      </w:r>
    </w:p>
    <w:p>
      <w:pPr>
        <w:pStyle w:val="Heading3"/>
      </w:pPr>
      <w:r>
        <w:t>5.1 Target State Hub-and-Spoke VPC Topology</w:t>
      </w:r>
    </w:p>
    <w:p>
      <w:r>
        <w:t>All production environments will sit within a secured spoke VPC connected via an AWS Transit Gateway to a centralized Management Hub. Boundary protection is managed at a Cloud Access Point (CAP) to the DoD Information Network (DoDIN).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graph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DoDIN [DoD Information Network]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A[DoD User / Agency Network]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CAP [Cloud Access Point]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B[DoD CAP / Boundary Firewalls]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GovCloud [AWS GovCloud US - IL5 Security Boundary]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HubVPC [Management Hub 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C[Ingress / WAF] --&gt; D[Transit Gateway]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E[Identity &amp; Access Management AD] --- 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F[Auditing &amp; Logging Repository] --- 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BIES_Prod [BIES Production 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direction TB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Public_Tier [Public / External Subnet]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G[NP2 Public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H[e-QIP Portal]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I[Public ALB / WAF]</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App_Tier [Application &amp; Processing Subnet]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J[PIPS Core Logic]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K[FTS Fingerprint Engine]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L[OPIS Imaging Engine]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M[ARC-Nlets &amp; NFW Integration]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Data_Tier [Data &amp; Storage Subnet - Isolated]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N[(PIPS Oracle/PostgreSQL DB)]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O[OPIS S3 Document Store]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P[AWS KMS - Customer Managed Keys]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subgraph FieldVPC [Investigator Connectivity 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Q[FWS Field Work APIs]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R[AppStream 2.0 / VDI Gateway]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Network Connections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 --&gt; B</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 --&gt; 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 &lt;--&gt; Public_Tier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 &lt;--&gt; FieldVPC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Tier-to-Tier Flows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Public_Tier --&gt; App_Tier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App_Tier --&gt; Data_Tier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FieldVPC --&gt; App_Tier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Key Security Constraints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 -.-&gt;|Encrypts at Rest| 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 -.-&gt;|Encrypts at Rest| O</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secure fill:#e1f5fe,stroke:#0288d1,stroke-width:2px;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data fill:#efebe9,stroke:#5d4037,stroke-width:2px;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classDef external fill:#eceff1,stroke:#607d8b,stroke-width:2px;</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G,H,I,J,K,L,M,Q,R secure;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N,O data;</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class A,B external;</w:t>
      </w:r>
    </w:p>
    <w:p>
      <w:pPr>
        <w:pStyle w:val="Heading3"/>
      </w:pPr>
      <w:r>
        <w:t>5.2 Mapping SysML Taxonomy to AWS GovCloud Infrastructure</w:t>
      </w:r>
    </w:p>
    <w:p>
      <w:r>
        <w:t>To ensure rigorous system documentation, the logical SysML decomposition must translate directly to physical AWS Cloud resources during transition:</w:t>
      </w:r>
    </w:p>
    <w:p>
      <w:pPr>
        <w:pStyle w:val="ListBullet"/>
      </w:pPr>
      <w:r>
        <w:rPr>
          <w:b/>
        </w:rPr>
        <w:t>System (The HVA) ➔ AWS Account / Primary VPC:</w:t>
      </w:r>
      <w:r>
        <w:t xml:space="preserve"> Every HVA system maintains its own isolated production VPC boundary with distinct routing tables.</w:t>
      </w:r>
    </w:p>
    <w:p>
      <w:pPr>
        <w:pStyle w:val="ListBullet"/>
      </w:pPr>
      <w:r>
        <w:rPr>
          <w:b/>
        </w:rPr>
        <w:t>Block (Logical Subsystems) ➔ VPC Subnets &amp; Security Groups:</w:t>
      </w:r>
      <w:r>
        <w:t xml:space="preserve"> Tiers are isolated using private, isolated subnets. Security Groups enforce strict, unidirectional ingress rules instead of traditional static network zones.</w:t>
      </w:r>
    </w:p>
    <w:p>
      <w:pPr>
        <w:pStyle w:val="ListBullet"/>
      </w:pPr>
      <w:r>
        <w:rPr>
          <w:b/>
        </w:rPr>
        <w:t>Component (Logical Software) ➔ AWS Managed Services / Compute:</w:t>
      </w:r>
      <w:r>
        <w:t xml:space="preserve"> Logical components map to scalable cloud constructs (e.g., Application servers map to Amazon EC2 behind Application Load Balancers or Amazon EKS container workloads; DB servers map to encrypted Amazon RDS instances).</w:t>
      </w:r>
    </w:p>
    <w:p>
      <w:pPr>
        <w:pStyle w:val="ListBullet"/>
      </w:pPr>
      <w:r>
        <w:rPr>
          <w:b/>
        </w:rPr>
        <w:t>Part (Runtime Files / Config) ➔ Container Images, Deployment Packages &amp; Systems Manager Parameters:</w:t>
      </w:r>
      <w:r>
        <w:t xml:space="preserve"> Specific components like </w:t>
      </w:r>
      <w:r>
        <w:rPr>
          <w:rFonts w:ascii="Consolas" w:hAnsi="Consolas"/>
        </w:rPr>
        <w:t>.war</w:t>
      </w:r>
      <w:r>
        <w:t xml:space="preserve"> files compile into container images stored in Amazon Elastic Container Registry (ECR). Configuration keys are stored in AWS Systems Manager (SSM) Parameter Store.</w:t>
      </w:r>
    </w:p>
    <w:p>
      <w:pPr>
        <w:pStyle w:val="Heading3"/>
      </w:pPr>
      <w:r>
        <w:t>5.3 Mandatory IL5 Cloud Security Guardrails</w:t>
      </w:r>
    </w:p>
    <w:p>
      <w:r>
        <w:t>All BIES cloud deployments must adhere to these strict guardrails:</w:t>
      </w:r>
    </w:p>
    <w:p>
      <w:pPr>
        <w:pStyle w:val="ListNumber"/>
      </w:pPr>
      <w:r>
        <w:rPr>
          <w:b/>
        </w:rPr>
        <w:t>Zero Public IP Exposure:</w:t>
      </w:r>
      <w:r>
        <w:t xml:space="preserve"> No backend application servers or databases may possess public IP addresses. All ingress traffic is routed through the central WAF/Transit Hub.</w:t>
      </w:r>
    </w:p>
    <w:p>
      <w:pPr>
        <w:pStyle w:val="ListNumber"/>
      </w:pPr>
      <w:r>
        <w:rPr>
          <w:b/>
        </w:rPr>
        <w:t>KMS Cryptographic Controls:</w:t>
      </w:r>
      <w:r>
        <w:t xml:space="preserve"> All data in transit and at rest must be encrypted using Customer-Managed Keys (CMKs) configured with automatic key rotation via AWS Key Management Service (KMS).</w:t>
      </w:r>
    </w:p>
    <w:p>
      <w:pPr>
        <w:pStyle w:val="ListNumber"/>
      </w:pPr>
      <w:r>
        <w:rPr>
          <w:b/>
        </w:rPr>
        <w:t>Isolated Database Subnets:</w:t>
      </w:r>
      <w:r>
        <w:t xml:space="preserve"> Database subnets must have all outbound Internet routing disabled. Replication traffic between Multi-AZ nodes must transit internal AWS backbones exclusively.</w:t>
      </w:r>
    </w:p>
    <w:p>
      <w:pPr>
        <w:pBdr>
          <w:bottom w:val="single" w:sz="6" w:space="1" w:color="808080"/>
        </w:pBdr>
      </w:pPr>
    </w:p>
    <w:p>
      <w:pPr>
        <w:pStyle w:val="Heading2"/>
      </w:pPr>
      <w:r>
        <w:t>6.0 Modernization Strategies &amp; Future HVAs</w:t>
      </w:r>
    </w:p>
    <w:p>
      <w:r>
        <w:t>The transition from BIES legacy "As-Is" architecture to the target "To-Be" state requires active code and architectural modernization.</w:t>
      </w:r>
    </w:p>
    <w:p>
      <w:pPr>
        <w:pStyle w:val="Heading3"/>
      </w:pPr>
      <w:r>
        <w:t>6.1 Database Refactoring vs. Lift-and-Shift</w:t>
      </w:r>
    </w:p>
    <w:p>
      <w:r>
        <w:t>Direct physical "lift-and-shift" migration of legacy databases (e.g., PIPS ADABAS/Oracle DB schemas) is highly discouraged. Point-to-point database calls degrade in high-latency cloud environments.</w:t>
      </w:r>
    </w:p>
    <w:p>
      <w:r>
        <w:t>Architects must prioritize:</w:t>
      </w:r>
    </w:p>
    <w:p>
      <w:pPr>
        <w:pStyle w:val="ListBullet"/>
      </w:pPr>
      <w:r>
        <w:t>Decoupling application logic from the database tier.</w:t>
      </w:r>
    </w:p>
    <w:p>
      <w:pPr>
        <w:pStyle w:val="ListBullet"/>
      </w:pPr>
      <w:r>
        <w:t>Migrating to modern, cloud-optimized relational engines (e.g., Amazon Aurora PostgreSQL) with structural schema partitioning.</w:t>
      </w:r>
    </w:p>
    <w:p>
      <w:pPr>
        <w:pStyle w:val="Heading3"/>
      </w:pPr>
      <w:r>
        <w:t>6.2 Decoupling Point-to-Point Integrations</w:t>
      </w:r>
    </w:p>
    <w:p>
      <w:r>
        <w:t>Legacy integration points, such as the direct eQIP-to-PIPS file drops, represent systemic single points of failure. Future integrations must be decoupled using secure API Gateways and event-driven patterns.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eQIP Ingestion ] ➔ [ AWS API Gateway ] ➔ [ Amazon SQS (Encryption) ] ➔ [ PIPS Processor ]</w:t>
      </w:r>
    </w:p>
    <w:p>
      <w:r>
        <w:t>This pattern guarantees that if PIPS core engine undergoes maintenance, intake queues will cache candidate data without dropping submissions.</w:t>
      </w:r>
    </w:p>
    <w:p>
      <w:pPr>
        <w:pStyle w:val="Heading3"/>
      </w:pPr>
      <w:r>
        <w:t>6.3 Future HVA Profile Roadmaps</w:t>
      </w:r>
    </w:p>
    <w:p>
      <w:r>
        <w:t>Later editions of these guidelines will systematically detail the remaining BIES High-Value Assets:</w:t>
      </w:r>
    </w:p>
    <w:p>
      <w:pPr>
        <w:pStyle w:val="ListBullet"/>
      </w:pPr>
      <w:r>
        <w:rPr>
          <w:b/>
        </w:rPr>
        <w:t>FTS (Fingerprint Transaction System):</w:t>
      </w:r>
      <w:r>
        <w:t xml:space="preserve"> Outlining secure GovCloud interfaces to FBI CJIS.</w:t>
      </w:r>
    </w:p>
    <w:p>
      <w:pPr>
        <w:pStyle w:val="ListBullet"/>
      </w:pPr>
      <w:r>
        <w:rPr>
          <w:b/>
        </w:rPr>
        <w:t>OPIS (OPM PIPS Imaging System):</w:t>
      </w:r>
      <w:r>
        <w:t xml:space="preserve"> Structuring migration to Amazon S3 with strict access policies.</w:t>
      </w:r>
    </w:p>
    <w:p>
      <w:pPr>
        <w:pStyle w:val="ListBullet"/>
      </w:pPr>
      <w:r>
        <w:rPr>
          <w:b/>
        </w:rPr>
        <w:t>FWS (Field Work System):</w:t>
      </w:r>
      <w:r>
        <w:t xml:space="preserve"> Formulating virtual workstation delivery using Amazon AppStream 2.0.</w:t>
      </w:r>
    </w:p>
    <w:p>
      <w:pPr>
        <w:pBdr>
          <w:bottom w:val="single" w:sz="6" w:space="1" w:color="808080"/>
        </w:pBdr>
      </w:pPr>
    </w:p>
    <w:p>
      <w:pPr>
        <w:pStyle w:val="Heading1"/>
      </w:pPr>
      <w:r>
        <w:t>PART C: REFERENCE SCHEMAS &amp; BACKLOGS</w:t>
      </w:r>
    </w:p>
    <w:p>
      <w:pPr>
        <w:pStyle w:val="Heading2"/>
      </w:pPr>
      <w:r>
        <w:t>7.0 BIES Citation Tracker Schema</w:t>
      </w:r>
    </w:p>
    <w:p>
      <w:r>
        <w:t xml:space="preserve">To support our RMF compliance goals, the companion </w:t>
      </w:r>
      <w:r>
        <w:rPr>
          <w:b/>
        </w:rPr>
        <w:t>BIES Citation Tracker Spreadsheet</w:t>
      </w:r>
      <w:r>
        <w:t xml:space="preserve"> must log every regulatory or operational reference utilizing this standardized schema:</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160"/>
        <w:gridCol w:w="2160"/>
        <w:gridCol w:w="2160"/>
        <w:gridCol w:w="2160"/>
      </w:tblGrid>
      <w:tr>
        <w:tc>
          <w:tcPr>
            <w:tcW w:type="dxa" w:w="2160"/>
            <w:shd w:val="clear" w:color="auto" w:fill="F1F3F4"/>
          </w:tcPr>
          <w:p>
            <w:r>
              <w:rPr>
                <w:b/>
              </w:rPr>
              <w:t>Column Field</w:t>
            </w:r>
          </w:p>
        </w:tc>
        <w:tc>
          <w:tcPr>
            <w:tcW w:type="dxa" w:w="2160"/>
            <w:shd w:val="clear" w:color="auto" w:fill="F1F3F4"/>
          </w:tcPr>
          <w:p>
            <w:r>
              <w:rPr>
                <w:b/>
              </w:rPr>
              <w:t>Data Type</w:t>
            </w:r>
          </w:p>
        </w:tc>
        <w:tc>
          <w:tcPr>
            <w:tcW w:type="dxa" w:w="2160"/>
            <w:shd w:val="clear" w:color="auto" w:fill="F1F3F4"/>
          </w:tcPr>
          <w:p>
            <w:r>
              <w:rPr>
                <w:b/>
              </w:rPr>
              <w:t>Description</w:t>
            </w:r>
          </w:p>
        </w:tc>
        <w:tc>
          <w:tcPr>
            <w:tcW w:type="dxa" w:w="2160"/>
            <w:shd w:val="clear" w:color="auto" w:fill="F1F3F4"/>
          </w:tcPr>
          <w:p>
            <w:r>
              <w:rPr>
                <w:b/>
              </w:rPr>
              <w:t>Example Entry</w:t>
            </w:r>
          </w:p>
        </w:tc>
      </w:tr>
      <w:tr>
        <w:tc>
          <w:tcPr>
            <w:tcW w:type="dxa" w:w="2160"/>
          </w:tcPr>
          <w:p>
            <w:r>
              <w:rPr>
                <w:b/>
              </w:rPr>
              <w:t>Citation ID</w:t>
            </w:r>
          </w:p>
        </w:tc>
        <w:tc>
          <w:tcPr>
            <w:tcW w:type="dxa" w:w="2160"/>
          </w:tcPr>
          <w:p>
            <w:r>
              <w:t>Alphanumeric</w:t>
            </w:r>
          </w:p>
        </w:tc>
        <w:tc>
          <w:tcPr>
            <w:tcW w:type="dxa" w:w="2160"/>
          </w:tcPr>
          <w:p>
            <w:r>
              <w:t>Unique lookup key for internal cross-referencing.</w:t>
            </w:r>
          </w:p>
        </w:tc>
        <w:tc>
          <w:tcPr>
            <w:tcW w:type="dxa" w:w="2160"/>
          </w:tcPr>
          <w:p>
            <w:r>
              <w:rPr>
                <w:rFonts w:ascii="Consolas" w:hAnsi="Consolas"/>
              </w:rPr>
              <w:t>CIT-001</w:t>
            </w:r>
          </w:p>
        </w:tc>
      </w:tr>
      <w:tr>
        <w:tc>
          <w:tcPr>
            <w:tcW w:type="dxa" w:w="2160"/>
            <w:shd w:val="clear" w:color="auto" w:fill="FAFAFA"/>
          </w:tcPr>
          <w:p>
            <w:r>
              <w:rPr>
                <w:b/>
              </w:rPr>
              <w:t>Source Type</w:t>
            </w:r>
          </w:p>
        </w:tc>
        <w:tc>
          <w:tcPr>
            <w:tcW w:type="dxa" w:w="2160"/>
            <w:shd w:val="clear" w:color="auto" w:fill="FAFAFA"/>
          </w:tcPr>
          <w:p>
            <w:r>
              <w:t>Enum</w:t>
            </w:r>
          </w:p>
        </w:tc>
        <w:tc>
          <w:tcPr>
            <w:tcW w:type="dxa" w:w="2160"/>
            <w:shd w:val="clear" w:color="auto" w:fill="FAFAFA"/>
          </w:tcPr>
          <w:p>
            <w:r>
              <w:t>Category of the source document.</w:t>
            </w:r>
          </w:p>
        </w:tc>
        <w:tc>
          <w:tcPr>
            <w:tcW w:type="dxa" w:w="2160"/>
            <w:shd w:val="clear" w:color="auto" w:fill="FAFAFA"/>
          </w:tcPr>
          <w:p>
            <w:r>
              <w:rPr>
                <w:rFonts w:ascii="Consolas" w:hAnsi="Consolas"/>
              </w:rPr>
              <w:t>Executive Order (EO)</w:t>
            </w:r>
          </w:p>
        </w:tc>
      </w:tr>
      <w:tr>
        <w:tc>
          <w:tcPr>
            <w:tcW w:type="dxa" w:w="2160"/>
          </w:tcPr>
          <w:p>
            <w:r>
              <w:rPr>
                <w:b/>
              </w:rPr>
              <w:t>Document Name</w:t>
            </w:r>
          </w:p>
        </w:tc>
        <w:tc>
          <w:tcPr>
            <w:tcW w:type="dxa" w:w="2160"/>
          </w:tcPr>
          <w:p>
            <w:r>
              <w:t>String</w:t>
            </w:r>
          </w:p>
        </w:tc>
        <w:tc>
          <w:tcPr>
            <w:tcW w:type="dxa" w:w="2160"/>
          </w:tcPr>
          <w:p>
            <w:r>
              <w:t>The official title of the reference material.</w:t>
            </w:r>
          </w:p>
        </w:tc>
        <w:tc>
          <w:tcPr>
            <w:tcW w:type="dxa" w:w="2160"/>
          </w:tcPr>
          <w:p>
            <w:r>
              <w:rPr>
                <w:rFonts w:ascii="Consolas" w:hAnsi="Consolas"/>
              </w:rPr>
              <w:t>Executive Order 13869</w:t>
            </w:r>
          </w:p>
        </w:tc>
      </w:tr>
      <w:tr>
        <w:tc>
          <w:tcPr>
            <w:tcW w:type="dxa" w:w="2160"/>
            <w:shd w:val="clear" w:color="auto" w:fill="FAFAFA"/>
          </w:tcPr>
          <w:p>
            <w:r>
              <w:rPr>
                <w:b/>
              </w:rPr>
              <w:t>Applicable Section</w:t>
            </w:r>
          </w:p>
        </w:tc>
        <w:tc>
          <w:tcPr>
            <w:tcW w:type="dxa" w:w="2160"/>
            <w:shd w:val="clear" w:color="auto" w:fill="FAFAFA"/>
          </w:tcPr>
          <w:p>
            <w:r>
              <w:t>String</w:t>
            </w:r>
          </w:p>
        </w:tc>
        <w:tc>
          <w:tcPr>
            <w:tcW w:type="dxa" w:w="2160"/>
            <w:shd w:val="clear" w:color="auto" w:fill="FAFAFA"/>
          </w:tcPr>
          <w:p>
            <w:r>
              <w:t>The specific chapter or page referenced.</w:t>
            </w:r>
          </w:p>
        </w:tc>
        <w:tc>
          <w:tcPr>
            <w:tcW w:type="dxa" w:w="2160"/>
            <w:shd w:val="clear" w:color="auto" w:fill="FAFAFA"/>
          </w:tcPr>
          <w:p>
            <w:r>
              <w:rPr>
                <w:rFonts w:ascii="Consolas" w:hAnsi="Consolas"/>
              </w:rPr>
              <w:t>Section 2 (Transfer to DoD)</w:t>
            </w:r>
          </w:p>
        </w:tc>
      </w:tr>
      <w:tr>
        <w:tc>
          <w:tcPr>
            <w:tcW w:type="dxa" w:w="2160"/>
          </w:tcPr>
          <w:p>
            <w:r>
              <w:rPr>
                <w:b/>
              </w:rPr>
              <w:t>Regulatory Objective</w:t>
            </w:r>
          </w:p>
        </w:tc>
        <w:tc>
          <w:tcPr>
            <w:tcW w:type="dxa" w:w="2160"/>
          </w:tcPr>
          <w:p>
            <w:r>
              <w:t>String</w:t>
            </w:r>
          </w:p>
        </w:tc>
        <w:tc>
          <w:tcPr>
            <w:tcW w:type="dxa" w:w="2160"/>
          </w:tcPr>
          <w:p>
            <w:r>
              <w:t>The compliance or security goal supported by the citation.</w:t>
            </w:r>
          </w:p>
        </w:tc>
        <w:tc>
          <w:tcPr>
            <w:tcW w:type="dxa" w:w="2160"/>
          </w:tcPr>
          <w:p>
            <w:r>
              <w:rPr>
                <w:rFonts w:ascii="Consolas" w:hAnsi="Consolas"/>
              </w:rPr>
              <w:t>Personnel Vetting Modernization</w:t>
            </w:r>
          </w:p>
        </w:tc>
      </w:tr>
      <w:tr>
        <w:tc>
          <w:tcPr>
            <w:tcW w:type="dxa" w:w="2160"/>
            <w:shd w:val="clear" w:color="auto" w:fill="FAFAFA"/>
          </w:tcPr>
          <w:p>
            <w:r>
              <w:rPr>
                <w:b/>
              </w:rPr>
              <w:t>BIES Mapping</w:t>
            </w:r>
          </w:p>
        </w:tc>
        <w:tc>
          <w:tcPr>
            <w:tcW w:type="dxa" w:w="2160"/>
            <w:shd w:val="clear" w:color="auto" w:fill="FAFAFA"/>
          </w:tcPr>
          <w:p>
            <w:r>
              <w:t>String</w:t>
            </w:r>
          </w:p>
        </w:tc>
        <w:tc>
          <w:tcPr>
            <w:tcW w:type="dxa" w:w="2160"/>
            <w:shd w:val="clear" w:color="auto" w:fill="FAFAFA"/>
          </w:tcPr>
          <w:p>
            <w:r>
              <w:t>The BIES system or process influenced by this rule.</w:t>
            </w:r>
          </w:p>
        </w:tc>
        <w:tc>
          <w:tcPr>
            <w:tcW w:type="dxa" w:w="2160"/>
            <w:shd w:val="clear" w:color="auto" w:fill="FAFAFA"/>
          </w:tcPr>
          <w:p>
            <w:r>
              <w:rPr>
                <w:rFonts w:ascii="Consolas" w:hAnsi="Consolas"/>
              </w:rPr>
              <w:t>eQIP / PIPS Ingestion Boundary</w:t>
            </w:r>
          </w:p>
        </w:tc>
      </w:tr>
    </w:tbl>
    <w:p>
      <w:pPr>
        <w:pBdr>
          <w:bottom w:val="single" w:sz="6" w:space="1" w:color="808080"/>
        </w:pBdr>
      </w:pPr>
    </w:p>
    <w:p>
      <w:pPr>
        <w:pStyle w:val="Heading2"/>
      </w:pPr>
      <w:r>
        <w:t>8.0 Master Architecture Task Tracker &amp; Backlog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gantt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title BIES Architecture Backlog Roadmap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dateFormat  YYYY-MM-DD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section Phase 1: Baselines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Develop Section 4.0 System Profiles     :active, des1, 2026-07-24, 2026-08-15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Initialize Citation Tracker Spreadsheet :des2, 2026-07-24, 2026-08-01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section Phase 2: Detailed Modeling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TSK-001: Map eQIP to AWS Resources     :des3, 2026-08-15, 2026-09-05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TSK-002: Trace NIST Controls for Nlets  :des4, 2026-09-05, 2026-09-25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TSK-003: Define PIPS DB Artifacts       :des5, 2026-09-25, 2026-10-15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section Phase 3: Cloud Target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Develop Section 5.0 Cloud Transition    :des6, 2026-10-15, 2026-11-10</w:t>
      </w:r>
    </w:p>
    <w:p>
      <w:pPr>
        <w:pStyle w:val="Heading3"/>
      </w:pPr>
      <w:r>
        <w:t>8.1 Active &amp; Backlog Task Registry</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440"/>
        <w:gridCol w:w="1440"/>
        <w:gridCol w:w="1440"/>
        <w:gridCol w:w="1440"/>
        <w:gridCol w:w="1440"/>
        <w:gridCol w:w="1440"/>
      </w:tblGrid>
      <w:tr>
        <w:tc>
          <w:tcPr>
            <w:tcW w:type="dxa" w:w="1440"/>
            <w:shd w:val="clear" w:color="auto" w:fill="F1F3F4"/>
          </w:tcPr>
          <w:p>
            <w:r>
              <w:rPr>
                <w:b/>
              </w:rPr>
              <w:t>Task ID</w:t>
            </w:r>
          </w:p>
        </w:tc>
        <w:tc>
          <w:tcPr>
            <w:tcW w:type="dxa" w:w="1440"/>
            <w:shd w:val="clear" w:color="auto" w:fill="F1F3F4"/>
          </w:tcPr>
          <w:p>
            <w:r>
              <w:rPr>
                <w:b/>
              </w:rPr>
              <w:t>Topic / Focus</w:t>
            </w:r>
          </w:p>
        </w:tc>
        <w:tc>
          <w:tcPr>
            <w:tcW w:type="dxa" w:w="1440"/>
            <w:shd w:val="clear" w:color="auto" w:fill="F1F3F4"/>
          </w:tcPr>
          <w:p>
            <w:r>
              <w:rPr>
                <w:b/>
              </w:rPr>
              <w:t>Detailed Task Description</w:t>
            </w:r>
          </w:p>
        </w:tc>
        <w:tc>
          <w:tcPr>
            <w:tcW w:type="dxa" w:w="1440"/>
            <w:shd w:val="clear" w:color="auto" w:fill="F1F3F4"/>
          </w:tcPr>
          <w:p>
            <w:r>
              <w:rPr>
                <w:b/>
              </w:rPr>
              <w:t>Assigned Owner</w:t>
            </w:r>
          </w:p>
        </w:tc>
        <w:tc>
          <w:tcPr>
            <w:tcW w:type="dxa" w:w="1440"/>
            <w:shd w:val="clear" w:color="auto" w:fill="F1F3F4"/>
          </w:tcPr>
          <w:p>
            <w:r>
              <w:rPr>
                <w:b/>
              </w:rPr>
              <w:t>Status</w:t>
            </w:r>
          </w:p>
        </w:tc>
        <w:tc>
          <w:tcPr>
            <w:tcW w:type="dxa" w:w="1440"/>
            <w:shd w:val="clear" w:color="auto" w:fill="F1F3F4"/>
          </w:tcPr>
          <w:p>
            <w:r>
              <w:rPr>
                <w:b/>
              </w:rPr>
              <w:t>Target Completion</w:t>
            </w:r>
          </w:p>
        </w:tc>
      </w:tr>
      <w:tr>
        <w:tc>
          <w:tcPr>
            <w:tcW w:type="dxa" w:w="1440"/>
          </w:tcPr>
          <w:p>
            <w:r>
              <w:rPr>
                <w:b/>
              </w:rPr>
              <w:t>TSK-001</w:t>
            </w:r>
          </w:p>
        </w:tc>
        <w:tc>
          <w:tcPr>
            <w:tcW w:type="dxa" w:w="1440"/>
          </w:tcPr>
          <w:p>
            <w:r>
              <w:t>eQIP AWS Mapping</w:t>
            </w:r>
          </w:p>
        </w:tc>
        <w:tc>
          <w:tcPr>
            <w:tcW w:type="dxa" w:w="1440"/>
          </w:tcPr>
          <w:p>
            <w:r>
              <w:t>Map the eQIP System's SysML taxonomy (System, Block, Component, Part) to standard AWS GovCloud managed resources.</w:t>
            </w:r>
          </w:p>
        </w:tc>
        <w:tc>
          <w:tcPr>
            <w:tcW w:type="dxa" w:w="1440"/>
          </w:tcPr>
          <w:p>
            <w:r>
              <w:t>Lead Cloud Architect</w:t>
            </w:r>
          </w:p>
        </w:tc>
        <w:tc>
          <w:tcPr>
            <w:tcW w:type="dxa" w:w="1440"/>
          </w:tcPr>
          <w:p>
            <w:r>
              <w:rPr>
                <w:b/>
              </w:rPr>
              <w:t>Not Started</w:t>
            </w:r>
          </w:p>
        </w:tc>
        <w:tc>
          <w:tcPr>
            <w:tcW w:type="dxa" w:w="1440"/>
          </w:tcPr>
          <w:p>
            <w:r>
              <w:t>Q3 2026</w:t>
            </w:r>
          </w:p>
        </w:tc>
      </w:tr>
      <w:tr>
        <w:tc>
          <w:tcPr>
            <w:tcW w:type="dxa" w:w="1440"/>
            <w:shd w:val="clear" w:color="auto" w:fill="FAFAFA"/>
          </w:tcPr>
          <w:p>
            <w:r>
              <w:rPr>
                <w:b/>
              </w:rPr>
              <w:t>TSK-002</w:t>
            </w:r>
          </w:p>
        </w:tc>
        <w:tc>
          <w:tcPr>
            <w:tcW w:type="dxa" w:w="1440"/>
            <w:shd w:val="clear" w:color="auto" w:fill="FAFAFA"/>
          </w:tcPr>
          <w:p>
            <w:r>
              <w:t>Security Trace</w:t>
            </w:r>
          </w:p>
        </w:tc>
        <w:tc>
          <w:tcPr>
            <w:tcW w:type="dxa" w:w="1440"/>
            <w:shd w:val="clear" w:color="auto" w:fill="FAFAFA"/>
          </w:tcPr>
          <w:p>
            <w:r>
              <w:t>Trace NIST SP 800-53 security controls to specific logical components in the ARC-Nlets Component Diagram.</w:t>
            </w:r>
          </w:p>
        </w:tc>
        <w:tc>
          <w:tcPr>
            <w:tcW w:type="dxa" w:w="1440"/>
            <w:shd w:val="clear" w:color="auto" w:fill="FAFAFA"/>
          </w:tcPr>
          <w:p>
            <w:r>
              <w:t>Lead Security Engineer</w:t>
            </w:r>
          </w:p>
        </w:tc>
        <w:tc>
          <w:tcPr>
            <w:tcW w:type="dxa" w:w="1440"/>
            <w:shd w:val="clear" w:color="auto" w:fill="FAFAFA"/>
          </w:tcPr>
          <w:p>
            <w:r>
              <w:rPr>
                <w:b/>
              </w:rPr>
              <w:t>Not Started</w:t>
            </w:r>
          </w:p>
        </w:tc>
        <w:tc>
          <w:tcPr>
            <w:tcW w:type="dxa" w:w="1440"/>
            <w:shd w:val="clear" w:color="auto" w:fill="FAFAFA"/>
          </w:tcPr>
          <w:p>
            <w:r>
              <w:t>Q4 2026</w:t>
            </w:r>
          </w:p>
        </w:tc>
      </w:tr>
      <w:tr>
        <w:tc>
          <w:tcPr>
            <w:tcW w:type="dxa" w:w="1440"/>
          </w:tcPr>
          <w:p>
            <w:r>
              <w:rPr>
                <w:b/>
              </w:rPr>
              <w:t>TSK-003</w:t>
            </w:r>
          </w:p>
        </w:tc>
        <w:tc>
          <w:tcPr>
            <w:tcW w:type="dxa" w:w="1440"/>
          </w:tcPr>
          <w:p>
            <w:r>
              <w:t>Artifact Mapping</w:t>
            </w:r>
          </w:p>
        </w:tc>
        <w:tc>
          <w:tcPr>
            <w:tcW w:type="dxa" w:w="1440"/>
          </w:tcPr>
          <w:p>
            <w:r>
              <w:t xml:space="preserve">Define the physical deployment artifacts (schemas, </w:t>
            </w:r>
            <w:r>
              <w:rPr>
                <w:rFonts w:ascii="Consolas" w:hAnsi="Consolas"/>
              </w:rPr>
              <w:t>.jar</w:t>
            </w:r>
            <w:r>
              <w:t xml:space="preserve"> files, configuration properties) for the core PIPS database migration.</w:t>
            </w:r>
          </w:p>
        </w:tc>
        <w:tc>
          <w:tcPr>
            <w:tcW w:type="dxa" w:w="1440"/>
          </w:tcPr>
          <w:p>
            <w:r>
              <w:t>Principal Software Engineer</w:t>
            </w:r>
          </w:p>
        </w:tc>
        <w:tc>
          <w:tcPr>
            <w:tcW w:type="dxa" w:w="1440"/>
          </w:tcPr>
          <w:p>
            <w:r>
              <w:rPr>
                <w:b/>
              </w:rPr>
              <w:t>Not Started</w:t>
            </w:r>
          </w:p>
        </w:tc>
        <w:tc>
          <w:tcPr>
            <w:tcW w:type="dxa" w:w="1440"/>
          </w:tcPr>
          <w:p>
            <w:r>
              <w:t>Q4 2026</w:t>
            </w:r>
          </w:p>
        </w:tc>
      </w:tr>
      <w:tr>
        <w:tc>
          <w:tcPr>
            <w:tcW w:type="dxa" w:w="1440"/>
            <w:shd w:val="clear" w:color="auto" w:fill="FAFAFA"/>
          </w:tcPr>
          <w:p>
            <w:r>
              <w:rPr>
                <w:b/>
              </w:rPr>
              <w:t>TSK-004</w:t>
            </w:r>
          </w:p>
        </w:tc>
        <w:tc>
          <w:tcPr>
            <w:tcW w:type="dxa" w:w="1440"/>
            <w:shd w:val="clear" w:color="auto" w:fill="FAFAFA"/>
          </w:tcPr>
          <w:p>
            <w:r>
              <w:t>System Profiles</w:t>
            </w:r>
          </w:p>
        </w:tc>
        <w:tc>
          <w:tcPr>
            <w:tcW w:type="dxa" w:w="1440"/>
            <w:shd w:val="clear" w:color="auto" w:fill="FAFAFA"/>
          </w:tcPr>
          <w:p>
            <w:r>
              <w:t>Write Section 4.0 of the guidelines containing the baseline "As-Is" architectural profiles for ARC-Nlets, eQIP, and NP2.</w:t>
            </w:r>
          </w:p>
        </w:tc>
        <w:tc>
          <w:tcPr>
            <w:tcW w:type="dxa" w:w="1440"/>
            <w:shd w:val="clear" w:color="auto" w:fill="FAFAFA"/>
          </w:tcPr>
          <w:p>
            <w:r>
              <w:t>BIES Enterprise Architect</w:t>
            </w:r>
          </w:p>
        </w:tc>
        <w:tc>
          <w:tcPr>
            <w:tcW w:type="dxa" w:w="1440"/>
            <w:shd w:val="clear" w:color="auto" w:fill="FAFAFA"/>
          </w:tcPr>
          <w:p>
            <w:r>
              <w:rPr>
                <w:b/>
              </w:rPr>
              <w:t>Completed</w:t>
            </w:r>
          </w:p>
        </w:tc>
        <w:tc>
          <w:tcPr>
            <w:tcW w:type="dxa" w:w="1440"/>
            <w:shd w:val="clear" w:color="auto" w:fill="FAFAFA"/>
          </w:tcPr>
          <w:p>
            <w:r>
              <w:t>Q2 2026</w:t>
            </w:r>
          </w:p>
        </w:tc>
      </w:tr>
      <w:tr>
        <w:tc>
          <w:tcPr>
            <w:tcW w:type="dxa" w:w="1440"/>
          </w:tcPr>
          <w:p>
            <w:r>
              <w:rPr>
                <w:b/>
              </w:rPr>
              <w:t>TSK-005</w:t>
            </w:r>
          </w:p>
        </w:tc>
        <w:tc>
          <w:tcPr>
            <w:tcW w:type="dxa" w:w="1440"/>
          </w:tcPr>
          <w:p>
            <w:r>
              <w:t>Cloud Transition</w:t>
            </w:r>
          </w:p>
        </w:tc>
        <w:tc>
          <w:tcPr>
            <w:tcW w:type="dxa" w:w="1440"/>
          </w:tcPr>
          <w:p>
            <w:r>
              <w:t>Write Section 5.0 of the guidelines detailing the target Hub-and-Spoke VPC topology and security guardrails for AWS GovCloud.</w:t>
            </w:r>
          </w:p>
        </w:tc>
        <w:tc>
          <w:tcPr>
            <w:tcW w:type="dxa" w:w="1440"/>
          </w:tcPr>
          <w:p>
            <w:r>
              <w:t>Lead Cloud Architect</w:t>
            </w:r>
          </w:p>
        </w:tc>
        <w:tc>
          <w:tcPr>
            <w:tcW w:type="dxa" w:w="1440"/>
          </w:tcPr>
          <w:p>
            <w:r>
              <w:rPr>
                <w:b/>
              </w:rPr>
              <w:t>Completed</w:t>
            </w:r>
          </w:p>
        </w:tc>
        <w:tc>
          <w:tcPr>
            <w:tcW w:type="dxa" w:w="1440"/>
          </w:tcPr>
          <w:p>
            <w:r>
              <w:t>Q2 2026</w:t>
            </w:r>
          </w:p>
        </w:tc>
      </w:tr>
      <w:tr>
        <w:tc>
          <w:tcPr>
            <w:tcW w:type="dxa" w:w="1440"/>
            <w:shd w:val="clear" w:color="auto" w:fill="FAFAFA"/>
          </w:tcPr>
          <w:p>
            <w:r>
              <w:rPr>
                <w:b/>
              </w:rPr>
              <w:t>TSK-006</w:t>
            </w:r>
          </w:p>
        </w:tc>
        <w:tc>
          <w:tcPr>
            <w:tcW w:type="dxa" w:w="1440"/>
            <w:shd w:val="clear" w:color="auto" w:fill="FAFAFA"/>
          </w:tcPr>
          <w:p>
            <w:r>
              <w:t>Citation Control</w:t>
            </w:r>
          </w:p>
        </w:tc>
        <w:tc>
          <w:tcPr>
            <w:tcW w:type="dxa" w:w="1440"/>
            <w:shd w:val="clear" w:color="auto" w:fill="FAFAFA"/>
          </w:tcPr>
          <w:p>
            <w:r>
              <w:t xml:space="preserve">Initialize the companion </w:t>
            </w:r>
            <w:r>
              <w:rPr>
                <w:b/>
              </w:rPr>
              <w:t>BIES Citation Tracker Spreadsheet</w:t>
            </w:r>
            <w:r>
              <w:t xml:space="preserve"> inside the </w:t>
            </w:r>
            <w:r>
              <w:rPr>
                <w:rFonts w:ascii="Consolas" w:hAnsi="Consolas"/>
              </w:rPr>
              <w:t>Architecture1</w:t>
            </w:r>
            <w:r>
              <w:t xml:space="preserve"> repository and log initial entries.</w:t>
            </w:r>
          </w:p>
        </w:tc>
        <w:tc>
          <w:tcPr>
            <w:tcW w:type="dxa" w:w="1440"/>
            <w:shd w:val="clear" w:color="auto" w:fill="FAFAFA"/>
          </w:tcPr>
          <w:p>
            <w:r>
              <w:t>Lead Technical Writer</w:t>
            </w:r>
          </w:p>
        </w:tc>
        <w:tc>
          <w:tcPr>
            <w:tcW w:type="dxa" w:w="1440"/>
            <w:shd w:val="clear" w:color="auto" w:fill="FAFAFA"/>
          </w:tcPr>
          <w:p>
            <w:r>
              <w:rPr>
                <w:b/>
              </w:rPr>
              <w:t>Not Started</w:t>
            </w:r>
          </w:p>
        </w:tc>
        <w:tc>
          <w:tcPr>
            <w:tcW w:type="dxa" w:w="1440"/>
            <w:shd w:val="clear" w:color="auto" w:fill="FAFAFA"/>
          </w:tcPr>
          <w:p>
            <w:r>
              <w:t>Q1 2026</w:t>
            </w:r>
          </w:p>
        </w:tc>
      </w:tr>
      <w:tr>
        <w:tc>
          <w:tcPr>
            <w:tcW w:type="dxa" w:w="1440"/>
          </w:tcPr>
          <w:p>
            <w:r>
              <w:rPr>
                <w:b/>
              </w:rPr>
              <w:t>TSK-007</w:t>
            </w:r>
          </w:p>
        </w:tc>
        <w:tc>
          <w:tcPr>
            <w:tcW w:type="dxa" w:w="1440"/>
          </w:tcPr>
          <w:p>
            <w:r>
              <w:t>Guidelines Review</w:t>
            </w:r>
          </w:p>
        </w:tc>
        <w:tc>
          <w:tcPr>
            <w:tcW w:type="dxa" w:w="1440"/>
          </w:tcPr>
          <w:p>
            <w:r>
              <w:t>Perform a full MBSE traceability review to ensure Level 1 through Level 4 mappings align with UAF logically.</w:t>
            </w:r>
          </w:p>
        </w:tc>
        <w:tc>
          <w:tcPr>
            <w:tcW w:type="dxa" w:w="1440"/>
          </w:tcPr>
          <w:p>
            <w:r>
              <w:t>Chief Systems Engineer</w:t>
            </w:r>
          </w:p>
        </w:tc>
        <w:tc>
          <w:tcPr>
            <w:tcW w:type="dxa" w:w="1440"/>
          </w:tcPr>
          <w:p>
            <w:r>
              <w:rPr>
                <w:b/>
              </w:rPr>
              <w:t>Planned</w:t>
            </w:r>
          </w:p>
        </w:tc>
        <w:tc>
          <w:tcPr>
            <w:tcW w:type="dxa" w:w="1440"/>
          </w:tcPr>
          <w:p>
            <w:r>
              <w:t>Q4 2026</w:t>
            </w:r>
          </w:p>
        </w:tc>
      </w:tr>
      <w:tr>
        <w:tc>
          <w:tcPr>
            <w:tcW w:type="dxa" w:w="1440"/>
            <w:shd w:val="clear" w:color="auto" w:fill="FAFAFA"/>
          </w:tcPr>
          <w:p>
            <w:r>
              <w:rPr>
                <w:b/>
              </w:rPr>
              <w:t>TSK-008</w:t>
            </w:r>
          </w:p>
        </w:tc>
        <w:tc>
          <w:tcPr>
            <w:tcW w:type="dxa" w:w="1440"/>
            <w:shd w:val="clear" w:color="auto" w:fill="FAFAFA"/>
          </w:tcPr>
          <w:p>
            <w:r>
              <w:t>OPIS Cloud Migration</w:t>
            </w:r>
          </w:p>
        </w:tc>
        <w:tc>
          <w:tcPr>
            <w:tcW w:type="dxa" w:w="1440"/>
            <w:shd w:val="clear" w:color="auto" w:fill="FAFAFA"/>
          </w:tcPr>
          <w:p>
            <w:r>
              <w:t>Define the migration path for OPIS (OPM PIPS Imaging System) to AWS S3 and document-management native services.</w:t>
            </w:r>
          </w:p>
        </w:tc>
        <w:tc>
          <w:tcPr>
            <w:tcW w:type="dxa" w:w="1440"/>
            <w:shd w:val="clear" w:color="auto" w:fill="FAFAFA"/>
          </w:tcPr>
          <w:p>
            <w:r>
              <w:t>Document Architect</w:t>
            </w:r>
          </w:p>
        </w:tc>
        <w:tc>
          <w:tcPr>
            <w:tcW w:type="dxa" w:w="1440"/>
            <w:shd w:val="clear" w:color="auto" w:fill="FAFAFA"/>
          </w:tcPr>
          <w:p>
            <w:r>
              <w:rPr>
                <w:b/>
              </w:rPr>
              <w:t>Not Started</w:t>
            </w:r>
          </w:p>
        </w:tc>
        <w:tc>
          <w:tcPr>
            <w:tcW w:type="dxa" w:w="1440"/>
            <w:shd w:val="clear" w:color="auto" w:fill="FAFAFA"/>
          </w:tcPr>
          <w:p>
            <w:r>
              <w:t>Q1 2027</w:t>
            </w:r>
          </w:p>
        </w:tc>
      </w:tr>
      <w:tr>
        <w:tc>
          <w:tcPr>
            <w:tcW w:type="dxa" w:w="1440"/>
          </w:tcPr>
          <w:p>
            <w:r>
              <w:rPr>
                <w:b/>
              </w:rPr>
              <w:t>TSK-009</w:t>
            </w:r>
          </w:p>
        </w:tc>
        <w:tc>
          <w:tcPr>
            <w:tcW w:type="dxa" w:w="1440"/>
          </w:tcPr>
          <w:p>
            <w:r>
              <w:t>Cloud Continuous Monitoring</w:t>
            </w:r>
          </w:p>
        </w:tc>
        <w:tc>
          <w:tcPr>
            <w:tcW w:type="dxa" w:w="1440"/>
          </w:tcPr>
          <w:p>
            <w:r>
              <w:t>Formulate the continuous monitoring strategy for AWS GovCloud IL5 using AWS CloudTrail, GuardDuty, and Security Hub.</w:t>
            </w:r>
          </w:p>
        </w:tc>
        <w:tc>
          <w:tcPr>
            <w:tcW w:type="dxa" w:w="1440"/>
          </w:tcPr>
          <w:p>
            <w:r>
              <w:t>Lead Security Engineer</w:t>
            </w:r>
          </w:p>
        </w:tc>
        <w:tc>
          <w:tcPr>
            <w:tcW w:type="dxa" w:w="1440"/>
          </w:tcPr>
          <w:p>
            <w:r>
              <w:rPr>
                <w:b/>
              </w:rPr>
              <w:t>Not Started</w:t>
            </w:r>
          </w:p>
        </w:tc>
        <w:tc>
          <w:tcPr>
            <w:tcW w:type="dxa" w:w="1440"/>
          </w:tcPr>
          <w:p>
            <w:r>
              <w:t>Q1 2027</w:t>
            </w:r>
          </w:p>
        </w:tc>
      </w:tr>
    </w:tbl>
    <w:p>
      <w:pPr>
        <w:pStyle w:val="Heading3"/>
      </w:pPr>
      <w:r>
        <w:t>8.2 Future Analytic Backlog (Suggested Action Prompts)</w:t>
      </w:r>
    </w:p>
    <w:p>
      <w:r>
        <w:t>The following tasks are preserved from the active architecture planning session to guide future automated analyses:</w:t>
      </w:r>
    </w:p>
    <w:p>
      <w:pPr>
        <w:pStyle w:val="ListNumber"/>
      </w:pPr>
      <w:r>
        <w:rPr>
          <w:b/>
        </w:rPr>
        <w:t>[Analytic Task 1] e-QIP to NBIS Migration Map:</w:t>
      </w:r>
      <w:r>
        <w:t xml:space="preserve"> Plan out the detailed logic and temporary dual-run queues required during transition state coexistence.</w:t>
      </w:r>
    </w:p>
    <w:p>
      <w:pPr>
        <w:pStyle w:val="ListNumber"/>
      </w:pPr>
      <w:r>
        <w:rPr>
          <w:b/>
        </w:rPr>
        <w:t>[Analytic Task 2] NIST Security Control Trace for ARC-Nlets:</w:t>
      </w:r>
      <w:r>
        <w:t xml:space="preserve"> Map physical AWS security group rules to explicit NIST SP 800-53 inheritance vectors.</w:t>
      </w:r>
    </w:p>
    <w:p>
      <w:pPr>
        <w:pStyle w:val="ListNumber"/>
      </w:pPr>
      <w:r>
        <w:rPr>
          <w:b/>
        </w:rPr>
        <w:t>[Analytic Task 3] PIPS Decoupling Blueprint:</w:t>
      </w:r>
      <w:r>
        <w:t xml:space="preserve"> Draft a component transition diagram demonstrating the extraction of the PIPS core validation logic out of standard ADABAS structures.</w:t>
      </w:r>
    </w:p>
    <w:p>
      <w:pPr>
        <w:pBdr>
          <w:bottom w:val="single" w:sz="6" w:space="1" w:color="808080"/>
        </w:pBdr>
      </w:pPr>
    </w:p>
    <w:p>
      <w:r>
        <w:rPr>
          <w:i/>
        </w:rPr>
        <w:t>Note: All updates to this master task registry must be version-controlled and pushed directly to the</w:t>
      </w:r>
      <w:r>
        <w:t xml:space="preserve"> </w:t>
      </w:r>
      <w:r>
        <w:rPr>
          <w:rFonts w:ascii="Consolas" w:hAnsi="Consolas"/>
        </w:rPr>
        <w:t>Architecture1</w:t>
      </w:r>
      <w:r>
        <w:t xml:space="preserve"> </w:t>
      </w:r>
      <w:r>
        <w:rPr>
          <w:i/>
        </w:rPr>
        <w:t>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