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BIES System of Systems Architecture Guidelines</w:t>
      </w:r>
    </w:p>
    <w:p>
      <w:r>
        <w:rPr>
          <w:b/>
        </w:rPr>
        <w:t>Release Version 1.0 (Draft)</w:t>
      </w:r>
      <w:r>
        <w:br/>
      </w:r>
      <w:r>
        <w:br/>
      </w:r>
      <w:r>
        <w:rPr>
          <w:i/>
        </w:rPr>
        <w:t>Controlled by: Defense Counterintelligence and Security Agency (DCSA)</w:t>
      </w:r>
      <w:r>
        <w:br/>
      </w:r>
      <w:r>
        <w:br/>
      </w:r>
      <w:r>
        <w:rPr>
          <w:i/>
        </w:rPr>
        <w:t xml:space="preserve">Repository: </w:t>
      </w:r>
      <w:r>
        <w:rPr>
          <w:rFonts w:ascii="Consolas" w:hAnsi="Consolas"/>
          <w:i/>
        </w:rPr>
        <w:t>Architecture1</w:t>
      </w:r>
    </w:p>
    <w:p>
      <w:pPr>
        <w:pBdr>
          <w:bottom w:val="single" w:sz="6" w:space="1" w:color="808080"/>
        </w:pBdr>
      </w:pPr>
    </w:p>
    <w:p>
      <w:pPr>
        <w:pStyle w:val="Heading2"/>
      </w:pPr>
      <w:r>
        <w:t>Document Control &amp; Editorial Preamble</w:t>
      </w:r>
    </w:p>
    <w:p>
      <w:r>
        <w:t>These guidelines govern the design, documentation, and modernization of all High-Value Assets (HVAs) within the Background Investigation Enterprise System (BIES) portfolio. To ensure engineering consistency, ease of review, and automated processing, all authors and modeling teams must adhere to the following three structural rules:</w:t>
      </w:r>
    </w:p>
    <w:p>
      <w:pPr>
        <w:pStyle w:val="ListNumber"/>
      </w:pPr>
      <w:r>
        <w:rPr>
          <w:b/>
        </w:rPr>
        <w:t>Visual Modeling:</w:t>
      </w:r>
      <w:r>
        <w:t xml:space="preserve"> Every major section and operational workflow must be accompanied by an editable, model-based system diagram.</w:t>
      </w:r>
    </w:p>
    <w:p>
      <w:pPr>
        <w:pStyle w:val="ListNumber"/>
      </w:pPr>
      <w:r>
        <w:rPr>
          <w:b/>
        </w:rPr>
        <w:t>Mermaid Standards:</w:t>
      </w:r>
      <w:r>
        <w:t xml:space="preserve"> All diagrams must be written using raw, standard Mermaid.js script blocks without backslash escapes (</w:t>
      </w:r>
      <w:r>
        <w:rPr>
          <w:rFonts w:ascii="Consolas" w:hAnsi="Consolas"/>
        </w:rPr>
        <w:t>\</w:t>
      </w:r>
      <w:r>
        <w:t xml:space="preserve">) or syntax errors. This allows code to be copied and dynamically rendered via our central </w:t>
      </w:r>
      <w:r>
        <w:rPr>
          <w:rFonts w:ascii="Consolas" w:hAnsi="Consolas"/>
          <w:b/>
        </w:rPr>
        <w:t>Architecture1</w:t>
      </w:r>
      <w:r>
        <w:t xml:space="preserve"> GitHub repository.</w:t>
      </w:r>
    </w:p>
    <w:p>
      <w:pPr>
        <w:pStyle w:val="ListNumber"/>
      </w:pPr>
      <w:r>
        <w:rPr>
          <w:b/>
        </w:rPr>
        <w:t>Traceable Citations:</w:t>
      </w:r>
      <w:r>
        <w:t xml:space="preserve"> All regulatory, statutory, and architectural references used in this document must be recorded in the companion </w:t>
      </w:r>
      <w:r>
        <w:rPr>
          <w:b/>
        </w:rPr>
        <w:t>BIES Citation Tracker Spreadsheet</w:t>
      </w:r>
      <w:r>
        <w:t xml:space="preserve"> to facilitate ongoing Risk Management Framework (RMF) and Authorization to Operate (ATO) reviews.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LR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Repo_Management ["GitHub: Architecture1"]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Guidelines["Architecture Guidelines Document"]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Mermaid["Mermaid.js Source Blocks"]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Guidelines --- Mermaid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Companion_Artifacts ["Side Controls"]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Spreadsheet["Citation Tracker Spreadsheet"]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Repo_Management -.-&gt;|Source Citations| Companion_Artifacts</w:t>
      </w:r>
    </w:p>
    <w:p>
      <w:pPr>
        <w:pBdr>
          <w:bottom w:val="single" w:sz="6" w:space="1" w:color="808080"/>
        </w:pBdr>
      </w:pPr>
    </w:p>
    <w:p>
      <w:pPr>
        <w:pStyle w:val="Heading2"/>
      </w:pPr>
      <w:r>
        <w:t>1.0 Introduction and Executive Summary</w:t>
      </w:r>
    </w:p>
    <w:p>
      <w:pPr>
        <w:pStyle w:val="Heading3"/>
      </w:pPr>
      <w:r>
        <w:t>1.1 Purpose and Scope of the Guidelines</w:t>
      </w:r>
    </w:p>
    <w:p>
      <w:r>
        <w:t>This document establishes the official architectural guidelines, model-based system engineering standards, and target-state cloud migration patterns for the Defense Counterintelligence and Security Agency (DCSA) Background Investigation Enterprise System (BIES) portfolio.</w:t>
      </w:r>
    </w:p>
    <w:p>
      <w:r>
        <w:t xml:space="preserve">The primary objective of these guidelines is to govern the transition of BIES legacy High-Value Assets (HVAs) from their current on-premise configurations to a secure, resilient, and compliant </w:t>
      </w:r>
      <w:r>
        <w:rPr>
          <w:b/>
        </w:rPr>
        <w:t>DoD Impact Level 5 (IL5) AWS GovCloud</w:t>
      </w:r>
      <w:r>
        <w:t xml:space="preserve"> environment. By establishing strict modeling rules, a standardized structural taxonomy, and modular migration guardrails, this document ensures that system modernization remains mathematically traceable to the core DCSA mission.</w:t>
      </w:r>
    </w:p>
    <w:p>
      <w:r>
        <w:t xml:space="preserve">All architectural modifications, configuration plans, and software engineering blueprints developed for the BIES portfolio must conform to the standards detailed herein. The authoritative source files for these guidelines are managed within the </w:t>
      </w:r>
      <w:r>
        <w:rPr>
          <w:rFonts w:ascii="Consolas" w:hAnsi="Consolas"/>
          <w:b/>
        </w:rPr>
        <w:t>Architecture1</w:t>
      </w:r>
      <w:r>
        <w:t xml:space="preserve"> version-controlled repository.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A[BIES Legacy HVAs] --&gt;|Transition Governed By| B[Architecture Guidelines]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--&gt;|Enforces Standards| C[Target AWS GovCloud IL5]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-.-&gt;|Version Controlled In| D[Architecture1 Repository]</w:t>
      </w:r>
    </w:p>
    <w:p>
      <w:pPr>
        <w:pStyle w:val="Heading3"/>
      </w:pPr>
      <w:r>
        <w:t>1.2 The BIES Mission &amp; Portfolio</w:t>
      </w:r>
    </w:p>
    <w:p>
      <w:r>
        <w:t xml:space="preserve">The DCSA Case Processing Branch (CPB) is responsible for the end-to-end development, security, maintenance, and operational support of the background investigation lifecycle. The core engine powering this mission is the </w:t>
      </w:r>
      <w:r>
        <w:rPr>
          <w:b/>
        </w:rPr>
        <w:t>Personnel Investigation Processing System (PIPS)</w:t>
      </w:r>
      <w:r>
        <w:t>.</w:t>
      </w:r>
    </w:p>
    <w:p>
      <w:r>
        <w:t>The BIES portfolio comprises nine integrated High-Value Assets (HVAs) that work in tandem to execute the federal vetting mission:</w:t>
      </w:r>
    </w:p>
    <w:p>
      <w:pPr>
        <w:pStyle w:val="ListBullet"/>
      </w:pPr>
      <w:r>
        <w:rPr>
          <w:b/>
        </w:rPr>
        <w:t>NP2:</w:t>
      </w:r>
      <w:r>
        <w:t xml:space="preserve"> National Background Investigation Bureau Public Portal (user onboarding/identity gateway).</w:t>
      </w:r>
    </w:p>
    <w:p>
      <w:pPr>
        <w:pStyle w:val="ListBullet"/>
      </w:pPr>
      <w:r>
        <w:rPr>
          <w:b/>
        </w:rPr>
        <w:t>eQIP:</w:t>
      </w:r>
      <w:r>
        <w:t xml:space="preserve"> Electronic Questionnaires for Investigations Processing (subject questionnaire ingestion).</w:t>
      </w:r>
    </w:p>
    <w:p>
      <w:pPr>
        <w:pStyle w:val="ListBullet"/>
      </w:pPr>
      <w:r>
        <w:rPr>
          <w:b/>
        </w:rPr>
        <w:t>FTS:</w:t>
      </w:r>
      <w:r>
        <w:t xml:space="preserve"> Fingerprint Transaction System (biometric query exchange with the FBI).</w:t>
      </w:r>
    </w:p>
    <w:p>
      <w:pPr>
        <w:pStyle w:val="ListBullet"/>
      </w:pPr>
      <w:r>
        <w:rPr>
          <w:b/>
        </w:rPr>
        <w:t>PIPS:</w:t>
      </w:r>
      <w:r>
        <w:t xml:space="preserve"> Personnel Investigations Processing System (core processing and orchestration database).</w:t>
      </w:r>
    </w:p>
    <w:p>
      <w:pPr>
        <w:pStyle w:val="ListBullet"/>
      </w:pPr>
      <w:r>
        <w:rPr>
          <w:b/>
        </w:rPr>
        <w:t>OPIS:</w:t>
      </w:r>
      <w:r>
        <w:t xml:space="preserve"> OPM PIPS Imaging System (case document storage and rendering).</w:t>
      </w:r>
    </w:p>
    <w:p>
      <w:pPr>
        <w:pStyle w:val="ListBullet"/>
      </w:pPr>
      <w:r>
        <w:rPr>
          <w:b/>
        </w:rPr>
        <w:t>ARC-Nlets:</w:t>
      </w:r>
      <w:r>
        <w:t xml:space="preserve"> Automated Records Check Gateway (automated state-level law checks).</w:t>
      </w:r>
    </w:p>
    <w:p>
      <w:pPr>
        <w:pStyle w:val="ListBullet"/>
      </w:pPr>
      <w:r>
        <w:rPr>
          <w:b/>
        </w:rPr>
        <w:t>NFW:</w:t>
      </w:r>
      <w:r>
        <w:t xml:space="preserve"> Non-Field Work System (non-field-based lead broker).</w:t>
      </w:r>
    </w:p>
    <w:p>
      <w:pPr>
        <w:pStyle w:val="ListBullet"/>
      </w:pPr>
      <w:r>
        <w:rPr>
          <w:b/>
        </w:rPr>
        <w:t>FWS:</w:t>
      </w:r>
      <w:r>
        <w:t xml:space="preserve"> Field Work System (thick client interface for field investigators).</w:t>
      </w:r>
    </w:p>
    <w:p>
      <w:pPr>
        <w:pStyle w:val="ListBullet"/>
      </w:pPr>
      <w:r>
        <w:rPr>
          <w:b/>
        </w:rPr>
        <w:t>DMRS:</w:t>
      </w:r>
      <w:r>
        <w:t xml:space="preserve"> Dashboard Managed Reporting System (business intelligence and reporting environment).</w:t>
      </w:r>
    </w:p>
    <w:p>
      <w:r>
        <w:t>Together, these systems support the federal workforce safety mandate by conducting background checks, managing records, and securely distributing case leads.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Ingestion_Identity ["Ingress &amp; Identity"]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NP2[NP2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eQIP[eQIP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Processing_Core ["BIES Processing Core"]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PIPS[(PIPS Main DB)]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OPIS[OPIS Document Store]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FTS[FTS Biometric Engine]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Field_External_Integration ["Integration &amp; Field 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NFW[NFW Data Exchange]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ARCNlets[ARC-Nlets Check]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FWS[FWS Field App]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Business_Intelligence ["Analytics"]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DMRS[DMRS Dashboard]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High-level functional flows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NP2 &amp; eQIP --&gt; PIPS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 &lt;--&gt; OPIS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 &lt;--&gt; FTS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 &lt;--&gt; NFW</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 &lt;--&gt; ARCNlets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FWS --&gt; PIPS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 --&gt; DMRS</w:t>
      </w:r>
    </w:p>
    <w:p>
      <w:pPr>
        <w:pStyle w:val="Heading3"/>
      </w:pPr>
      <w:r>
        <w:t>1.3 Transition Strategy: "As-Is" to "To-Be" AWS GovCloud</w:t>
      </w:r>
    </w:p>
    <w:p>
      <w:r>
        <w:t xml:space="preserve">The BIES portfolio is undergoing a phased modernization to migrate core capabilities into the DCSA cloud instance while preparing for eventual transition into the target National Background Investigation Services (NBIS) environment. The BIES target architecture uses a secure, segregated, multi-VPC </w:t>
      </w:r>
      <w:r>
        <w:rPr>
          <w:b/>
        </w:rPr>
        <w:t>Hub-and-Spoke</w:t>
      </w:r>
      <w:r>
        <w:t xml:space="preserve"> configuration inside AWS GovCloud, isolated from public internet routes through a DoD Cloud Access Point (CAP).</w:t>
      </w:r>
    </w:p>
    <w:p>
      <w:r>
        <w:t>To visualize this transition strategy at a high level, the following diagram highlights how legacy systems map into the cloud-native security boundaries of AWS GovCloud: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On_Premise ["Legacy On-Premise Environment"]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Legacy_Users["Sponsoring Agencies &amp; Subjects"]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Legacy_HVAs["BIES HVA Stack&lt;br&gt;NP2, eQIP, PIPS, etc."]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Legacy_Users --&gt;|NIPRNet / Web Protocols| Legacy_HVAs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AWS_GovCloud_IL5 ["Target AWS GovCloud (IL5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Hub_VPC ["Management Hub VPC"]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CAP["DoD Cloud Access Point (CAP)"]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IdAM["BIES Identity Management (NP2 / AD)"]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CAP --&gt; IdAM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Spoke_VPC ["BIES Core Spoke VPC"]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Web_Tier["Web Ingress Block&lt;br&gt;ALBs / Reverse Proxies"]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App_Tier["Application Processing Block&lt;br&gt;EC2 / EKS Compute"]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Data_Tier["Database &amp; Storage Block&lt;br&gt;Multi-AZ RDS / KMS / S3"]</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Web_Tier --&gt; App_Tier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App_Tier --&gt; Data_Tier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IdAM --&gt;|Transit Gateway routing| Web_Tier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Legacy_Users -.-&gt;|Modernized Access Route| CAP</w:t>
      </w:r>
    </w:p>
    <w:p>
      <w:pPr>
        <w:pBdr>
          <w:bottom w:val="single" w:sz="6" w:space="1" w:color="808080"/>
        </w:pBdr>
      </w:pPr>
    </w:p>
    <w:p>
      <w:pPr>
        <w:pStyle w:val="Heading2"/>
      </w:pPr>
      <w:r>
        <w:t>2.0 Architectural Framework and Decomposition Taxonomy</w:t>
      </w:r>
    </w:p>
    <w:p>
      <w:pPr>
        <w:pStyle w:val="Heading3"/>
      </w:pPr>
      <w:r>
        <w:t>2.1 Business Process Decomposition</w:t>
      </w:r>
    </w:p>
    <w:p>
      <w:r>
        <w:t xml:space="preserve">To prevent architectural degradation and maintain strict alignment with the Unified Architecture Framework (UAF) and DoDAF standards, BIES enforces a rigorous </w:t>
      </w:r>
      <w:r>
        <w:rPr>
          <w:b/>
        </w:rPr>
        <w:t>Process and Capability Decomposition Taxonomy</w:t>
      </w:r>
      <w:r>
        <w:t>. Under this framework, high-level, end-to-end mission workflows are decomposed through four operational layers to trace mission objectives directly down to the code running on server hardware:</w:t>
      </w:r>
    </w:p>
    <w:p>
      <w:pPr>
        <w:pStyle w:val="ListBullet"/>
      </w:pPr>
      <w:r>
        <w:rPr>
          <w:b/>
        </w:rPr>
        <w:t>Level 1 (L1) - End-to-End (E2E) Stage:</w:t>
      </w:r>
      <w:r>
        <w:t xml:space="preserve"> Broad operational stages defining the primary phases of the background investigation lifecycle (e.g., Ingestion, Investigation, Adjudication).</w:t>
      </w:r>
    </w:p>
    <w:p>
      <w:pPr>
        <w:pStyle w:val="ListBullet"/>
      </w:pPr>
      <w:r>
        <w:rPr>
          <w:b/>
        </w:rPr>
        <w:t>Level 2 (L2) - Business Activity:</w:t>
      </w:r>
      <w:r>
        <w:t xml:space="preserve"> Discrete sub-processes executed by DCSA personnel, investigators, or automated systems within an L1 stage (e.g., "Acquire Fingerprints", "Schedule Leads").</w:t>
      </w:r>
    </w:p>
    <w:p>
      <w:pPr>
        <w:pStyle w:val="ListBullet"/>
      </w:pPr>
      <w:r>
        <w:rPr>
          <w:b/>
        </w:rPr>
        <w:t>Level 3 (L3) - System Component &amp; Interface:</w:t>
      </w:r>
      <w:r>
        <w:t xml:space="preserve"> The logical software components, APIs, and systems (such as ARC-Nlets or FTS) that automate and execute the L2 business activities.</w:t>
      </w:r>
    </w:p>
    <w:p>
      <w:pPr>
        <w:pStyle w:val="ListBullet"/>
      </w:pPr>
      <w:r>
        <w:rPr>
          <w:b/>
        </w:rPr>
        <w:t>Level 4 (L4) - Physical Deployment &amp; Execution:</w:t>
      </w:r>
      <w:r>
        <w:t xml:space="preserve"> The actual hardware, operating system, directory structures, and binaries that run the L3 software (e.g., RHEL VMs, WebLogic processes, database schemas).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Process_Decomposition_Hierarchy ["BIES Process Decomposition Framework"]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L1["Level 1 (L1): End-to-End Stage&lt;br&gt;Example: Ingest Questionnaire"]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L2["Level 2 (L2): Business Activity&lt;br&gt;Example: Validate SF-86 Fields"]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L3["Level 3 (L3): System Interface&lt;br&gt;Example: eQIP Web Form Validator Component"]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L4["Level 4 (L4): Physical Deployment&lt;br&gt;Example: eqip_val.war on WebLogic Node"]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L1 --&gt; L2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L2 --&gt; L3</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L3 --&gt; L4</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Heading3"/>
      </w:pPr>
      <w:r>
        <w:t>2.2 Structural SysML Taxonomy Definitions</w:t>
      </w:r>
    </w:p>
    <w:p>
      <w:r>
        <w:t xml:space="preserve">To maintain model-based system engineering consistency, the physical structure of every HVA must be decomposed using a standard SysML taxonomy. All documentation, system diagrams, and configuration repositories inside the </w:t>
      </w:r>
      <w:r>
        <w:rPr>
          <w:rFonts w:ascii="Consolas" w:hAnsi="Consolas"/>
        </w:rPr>
        <w:t>Architecture1</w:t>
      </w:r>
      <w:r>
        <w:t xml:space="preserve"> library must utilize these four specific terms: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System ] ────► [ Block ] ➔ ────► [ Component ] ────► [ Part ]</w:t>
      </w:r>
    </w:p>
    <w:p>
      <w:pPr>
        <w:pStyle w:val="Heading4"/>
      </w:pPr>
      <w:r>
        <w:t>2.2.1 System (The HVA Portfolio)</w:t>
      </w:r>
    </w:p>
    <w:p>
      <w:r>
        <w:t xml:space="preserve">The </w:t>
      </w:r>
      <w:r>
        <w:rPr>
          <w:b/>
        </w:rPr>
        <w:t>System</w:t>
      </w:r>
      <w:r>
        <w:t xml:space="preserve"> represents the highest level of architectural abstraction. It defines the absolute boundary of a single High-Value Asset (HVA) or the entire BIES System of Systems (SoS). A System contains its own distinct security boundary, its own Risk Management Framework (RMF) package, and its own system-specific Authorization to Operate (ATO).</w:t>
      </w:r>
    </w:p>
    <w:p>
      <w:pPr>
        <w:pStyle w:val="ListBullet"/>
      </w:pPr>
      <w:r>
        <w:rPr>
          <w:i/>
        </w:rPr>
        <w:t>Examples:</w:t>
      </w:r>
      <w:r>
        <w:t xml:space="preserve"> eQIP System, ARC-Nlets System, PIPS System.</w:t>
      </w:r>
    </w:p>
    <w:p>
      <w:pPr>
        <w:pStyle w:val="Heading4"/>
      </w:pPr>
      <w:r>
        <w:t>2.2.2 Block (Logical Subsystems &amp; Tiers)</w:t>
      </w:r>
    </w:p>
    <w:p>
      <w:r>
        <w:t xml:space="preserve">A </w:t>
      </w:r>
      <w:r>
        <w:rPr>
          <w:b/>
        </w:rPr>
        <w:t>Block</w:t>
      </w:r>
      <w:r>
        <w:t xml:space="preserve"> is a structural sub-partition of a System. It groups related functionalities and components into logical tiers. Inside AWS GovCloud, Blocks map directly to network boundaries, subnets, and specific Security Groups.</w:t>
      </w:r>
    </w:p>
    <w:p>
      <w:pPr>
        <w:pStyle w:val="ListBullet"/>
      </w:pPr>
      <w:r>
        <w:rPr>
          <w:i/>
        </w:rPr>
        <w:t>Examples:</w:t>
      </w:r>
      <w:r>
        <w:t xml:space="preserve"> Web Ingress Tier Block, Application/Processing Block, Database &amp; Storage Block.</w:t>
      </w:r>
    </w:p>
    <w:p>
      <w:pPr>
        <w:pStyle w:val="Heading4"/>
      </w:pPr>
      <w:r>
        <w:t>2.2.3 Component (Software Modules)</w:t>
      </w:r>
    </w:p>
    <w:p>
      <w:r>
        <w:t xml:space="preserve">A </w:t>
      </w:r>
      <w:r>
        <w:rPr>
          <w:b/>
        </w:rPr>
        <w:t>Component</w:t>
      </w:r>
      <w:r>
        <w:t xml:space="preserve"> is a modular, encapsulated software unit that resides inside a Block. It represents logical, executable code, services, or middleware engines that run the system's business rules.</w:t>
      </w:r>
    </w:p>
    <w:p>
      <w:pPr>
        <w:pStyle w:val="ListBullet"/>
      </w:pPr>
      <w:r>
        <w:rPr>
          <w:i/>
        </w:rPr>
        <w:t>Examples:</w:t>
      </w:r>
      <w:r>
        <w:t xml:space="preserve"> Oracle HTTP Server, DataMaxx Core Broker, eQIP Web Form Validator.</w:t>
      </w:r>
    </w:p>
    <w:p>
      <w:pPr>
        <w:pStyle w:val="Heading4"/>
      </w:pPr>
      <w:r>
        <w:t>2.2.4 Part (Runtime Instances and Artifacts)</w:t>
      </w:r>
    </w:p>
    <w:p>
      <w:r>
        <w:t xml:space="preserve">A </w:t>
      </w:r>
      <w:r>
        <w:rPr>
          <w:b/>
        </w:rPr>
        <w:t>Part</w:t>
      </w:r>
      <w:r>
        <w:t xml:space="preserve"> is the atomic, runtime instance of a Component. It represents the physical compiled binary files, specific configuration tables, properties, or virtual machine tasks that execute on compute nodes.</w:t>
      </w:r>
    </w:p>
    <w:p>
      <w:pPr>
        <w:pStyle w:val="ListBullet"/>
      </w:pPr>
      <w:r>
        <w:rPr>
          <w:i/>
        </w:rPr>
        <w:t>Examples:</w:t>
      </w:r>
      <w:r>
        <w:t xml:space="preserve"> </w:t>
      </w:r>
      <w:r>
        <w:rPr>
          <w:rFonts w:ascii="Consolas" w:hAnsi="Consolas"/>
        </w:rPr>
        <w:t>dm_core.jar</w:t>
      </w:r>
      <w:r>
        <w:t xml:space="preserve"> executable, </w:t>
      </w:r>
      <w:r>
        <w:rPr>
          <w:rFonts w:ascii="Consolas" w:hAnsi="Consolas"/>
        </w:rPr>
        <w:t>nlets_config.xml</w:t>
      </w:r>
      <w:r>
        <w:t xml:space="preserve"> configuration, or an EC2 instance virtual machine task.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System Level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Tier_1_System ["Taxonomy Tier 1: System"]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Sys[eQIP System]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Block Level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Tier_2_Block ["Taxonomy Tier 2: Block"]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B1[Web / Ingress Block]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B2[App / Processing Block]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Component Level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Tier_3_Component ["Taxonomy Tier 3: Component"]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C1[eQIP User Interface]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C2[eQIP Data Processor]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Part Level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Tier_4_Part ["Taxonomy Tier 4: Part"]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P1["Part: eqip_web.war"]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P2["Part: eqip_engine.jar"]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Structural Breakdown Flows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Sys --&gt; B1 &amp; B2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B1 --&gt; C1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B2 --&gt; C2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C1 --&gt; P1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C2 --&gt; P2</w:t>
      </w:r>
    </w:p>
    <w:p>
      <w:pPr>
        <w:pStyle w:val="Heading3"/>
      </w:pPr>
      <w:r>
        <w:t>2.3 Vertical Traceability</w:t>
      </w:r>
    </w:p>
    <w:p>
      <w:r>
        <w:t>The ultimate value of this taxonomic structure is vertical traceability. Every physical component deployed in the cloud must trace directly up to an operational business process and mission goal. This vertical traceability guarantees that during cloud modernization, no critical functionality is dropped, and security compliance remains unbroken.</w:t>
      </w:r>
    </w:p>
    <w:p>
      <w:r>
        <w:t>The diagram below demonstrates how a single capability (e.g., executing an automated state record check) traces cleanly from an L1 mission phase down to an AWS GovCloud execution Part: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Mission_Trace ["Operational Traceability (Logical)"]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L1["L1 Mission Stage:&lt;br&gt;Conduct Background Investigations"]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L2["L2 Business Activity:&lt;br&gt;Conduct Local Agency Checks"]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L1 --&gt; L2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System_Trace ["Technical Traceability (Structural)"]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Sys["SysML System:&lt;br&gt;ARC-Nlets System (HVA)"]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Blk["SysML Block:&lt;br&gt;Processing / Broker Block"]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Comp["SysML Component:&lt;br&gt;DataMaxx Core Broker Module"]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Part["SysML Part:&lt;br&gt;dm_core.jar (Running on EC2)"]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Sys --&gt; Blk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Blk --&gt; Comp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Comp --&gt; Part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Traceability connections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L2 -.-&gt;|Traced to System| Sys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Comp -.-&gt;|Automates| L2</w:t>
      </w:r>
    </w:p>
    <w:p>
      <w:r>
        <w:t>By enforcing this four-tiered classification, BIES engineers can instantly calculate the operational impact of a physical database patch or cloud configuration change.</w:t>
      </w:r>
    </w:p>
    <w:p>
      <w:pPr>
        <w:pBdr>
          <w:bottom w:val="single" w:sz="6" w:space="1" w:color="808080"/>
        </w:pBdr>
      </w:pPr>
    </w:p>
    <w:p>
      <w:pPr>
        <w:pStyle w:val="Heading2"/>
      </w:pPr>
      <w:r>
        <w:t>3.0 Standardized Architectural Products (The 3 Primary Views)</w:t>
      </w:r>
    </w:p>
    <w:p>
      <w:r>
        <w:t xml:space="preserve">To document and accredit each HVA in the BIES portfolio, modeling teams must produce three standard architectural products: the </w:t>
      </w:r>
      <w:r>
        <w:rPr>
          <w:b/>
        </w:rPr>
        <w:t>Context Diagram</w:t>
      </w:r>
      <w:r>
        <w:t xml:space="preserve">, the </w:t>
      </w:r>
      <w:r>
        <w:rPr>
          <w:b/>
        </w:rPr>
        <w:t>Component Diagram</w:t>
      </w:r>
      <w:r>
        <w:t xml:space="preserve">, and the </w:t>
      </w:r>
      <w:r>
        <w:rPr>
          <w:b/>
        </w:rPr>
        <w:t>Deployment Diagram</w:t>
      </w:r>
      <w:r>
        <w:t xml:space="preserve">. This section defines these views and establishes the baseline templates that must be stored in the </w:t>
      </w:r>
      <w:r>
        <w:rPr>
          <w:rFonts w:ascii="Consolas" w:hAnsi="Consolas"/>
        </w:rPr>
        <w:t>Architecture1</w:t>
      </w:r>
      <w:r>
        <w:t xml:space="preserve"> library.</w:t>
      </w:r>
    </w:p>
    <w:p>
      <w:pPr>
        <w:pStyle w:val="Heading3"/>
      </w:pPr>
      <w:r>
        <w:t>3.1 Alignment with UAF / DoDAF Frameworks</w:t>
      </w:r>
    </w:p>
    <w:p>
      <w:r>
        <w:t xml:space="preserve">These three diagrams form a cohesive technical thread. When mapped to the </w:t>
      </w:r>
      <w:r>
        <w:rPr>
          <w:b/>
        </w:rPr>
        <w:t>Unified Architecture Framework (UAF)</w:t>
      </w:r>
      <w:r>
        <w:t xml:space="preserve"> and </w:t>
      </w:r>
      <w:r>
        <w:rPr>
          <w:b/>
        </w:rPr>
        <w:t>DoD Architecture Framework (DoDAF 2.02)</w:t>
      </w:r>
      <w:r>
        <w:t xml:space="preserve"> standards, they ensure that logical requirements and physical implementations remain perfectly synchronized.</w:t>
      </w:r>
    </w:p>
    <w:p>
      <w:r>
        <w:t>The matrix below establishes how our standard UML/SysML views correspond to the formal UAF grid coordinates and legacy DoDAF products:</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728"/>
        <w:gridCol w:w="1728"/>
        <w:gridCol w:w="1728"/>
        <w:gridCol w:w="1728"/>
        <w:gridCol w:w="1728"/>
      </w:tblGrid>
      <w:tr>
        <w:tc>
          <w:tcPr>
            <w:tcW w:type="dxa" w:w="1728"/>
            <w:shd w:val="clear" w:color="auto" w:fill="F1F3F4"/>
          </w:tcPr>
          <w:p>
            <w:r>
              <w:rPr>
                <w:b/>
              </w:rPr>
              <w:t>BIES Standard View</w:t>
            </w:r>
          </w:p>
        </w:tc>
        <w:tc>
          <w:tcPr>
            <w:tcW w:type="dxa" w:w="1728"/>
            <w:shd w:val="clear" w:color="auto" w:fill="F1F3F4"/>
          </w:tcPr>
          <w:p>
            <w:r>
              <w:rPr>
                <w:b/>
              </w:rPr>
              <w:t>Primary UML / SysML Notation</w:t>
            </w:r>
          </w:p>
        </w:tc>
        <w:tc>
          <w:tcPr>
            <w:tcW w:type="dxa" w:w="1728"/>
            <w:shd w:val="clear" w:color="auto" w:fill="F1F3F4"/>
          </w:tcPr>
          <w:p>
            <w:r>
              <w:rPr>
                <w:b/>
              </w:rPr>
              <w:t>Target UAF Grid Coordinate</w:t>
            </w:r>
          </w:p>
        </w:tc>
        <w:tc>
          <w:tcPr>
            <w:tcW w:type="dxa" w:w="1728"/>
            <w:shd w:val="clear" w:color="auto" w:fill="F1F3F4"/>
          </w:tcPr>
          <w:p>
            <w:r>
              <w:rPr>
                <w:b/>
              </w:rPr>
              <w:t>Legacy DoDAF Equivalent</w:t>
            </w:r>
          </w:p>
        </w:tc>
        <w:tc>
          <w:tcPr>
            <w:tcW w:type="dxa" w:w="1728"/>
            <w:shd w:val="clear" w:color="auto" w:fill="F1F3F4"/>
          </w:tcPr>
          <w:p>
            <w:r>
              <w:rPr>
                <w:b/>
              </w:rPr>
              <w:t>Architectural Value</w:t>
            </w:r>
          </w:p>
        </w:tc>
      </w:tr>
      <w:tr>
        <w:tc>
          <w:tcPr>
            <w:tcW w:type="dxa" w:w="1728"/>
          </w:tcPr>
          <w:p>
            <w:r>
              <w:rPr>
                <w:b/>
              </w:rPr>
              <w:t>System Context Diagram</w:t>
            </w:r>
          </w:p>
        </w:tc>
        <w:tc>
          <w:tcPr>
            <w:tcW w:type="dxa" w:w="1728"/>
          </w:tcPr>
          <w:p>
            <w:r>
              <w:t>Use Case / High-Level Block Definition</w:t>
            </w:r>
          </w:p>
        </w:tc>
        <w:tc>
          <w:tcPr>
            <w:tcW w:type="dxa" w:w="1728"/>
          </w:tcPr>
          <w:p>
            <w:r>
              <w:rPr>
                <w:b/>
              </w:rPr>
              <w:t>L-Ic</w:t>
            </w:r>
            <w:r>
              <w:t xml:space="preserve"> (Logical Connectivity) &amp; </w:t>
            </w:r>
            <w:r>
              <w:rPr>
                <w:b/>
              </w:rPr>
              <w:t>Lr-Ic</w:t>
            </w:r>
            <w:r>
              <w:t xml:space="preserve"> (Resource Connectivity)</w:t>
            </w:r>
          </w:p>
        </w:tc>
        <w:tc>
          <w:tcPr>
            <w:tcW w:type="dxa" w:w="1728"/>
          </w:tcPr>
          <w:p>
            <w:r>
              <w:rPr>
                <w:b/>
              </w:rPr>
              <w:t>OV-2</w:t>
            </w:r>
            <w:r>
              <w:t xml:space="preserve"> (Operational Connectivity) &amp; </w:t>
            </w:r>
            <w:r>
              <w:rPr>
                <w:b/>
              </w:rPr>
              <w:t>SV-1</w:t>
            </w:r>
            <w:r>
              <w:t xml:space="preserve"> (System Interface Description)</w:t>
            </w:r>
          </w:p>
        </w:tc>
        <w:tc>
          <w:tcPr>
            <w:tcW w:type="dxa" w:w="1728"/>
          </w:tcPr>
          <w:p>
            <w:r>
              <w:t>Establishes the HVA's security and operational boundary, defining exactly who and what interfaces with the system.</w:t>
            </w:r>
          </w:p>
        </w:tc>
      </w:tr>
      <w:tr>
        <w:tc>
          <w:tcPr>
            <w:tcW w:type="dxa" w:w="1728"/>
            <w:shd w:val="clear" w:color="auto" w:fill="FAFAFA"/>
          </w:tcPr>
          <w:p>
            <w:r>
              <w:rPr>
                <w:b/>
              </w:rPr>
              <w:t>Component Diagram</w:t>
            </w:r>
          </w:p>
        </w:tc>
        <w:tc>
          <w:tcPr>
            <w:tcW w:type="dxa" w:w="1728"/>
            <w:shd w:val="clear" w:color="auto" w:fill="FAFAFA"/>
          </w:tcPr>
          <w:p>
            <w:r>
              <w:t>Software Component &amp; Dependency</w:t>
            </w:r>
          </w:p>
        </w:tc>
        <w:tc>
          <w:tcPr>
            <w:tcW w:type="dxa" w:w="1728"/>
            <w:shd w:val="clear" w:color="auto" w:fill="FAFAFA"/>
          </w:tcPr>
          <w:p>
            <w:r>
              <w:rPr>
                <w:b/>
              </w:rPr>
              <w:t>Lr-Is</w:t>
            </w:r>
            <w:r>
              <w:t xml:space="preserve"> (Resource Structure)</w:t>
            </w:r>
          </w:p>
        </w:tc>
        <w:tc>
          <w:tcPr>
            <w:tcW w:type="dxa" w:w="1728"/>
            <w:shd w:val="clear" w:color="auto" w:fill="FAFAFA"/>
          </w:tcPr>
          <w:p>
            <w:r>
              <w:rPr>
                <w:b/>
              </w:rPr>
              <w:t>SV-1</w:t>
            </w:r>
            <w:r>
              <w:t xml:space="preserve"> (System Decomposition/Composition)</w:t>
            </w:r>
          </w:p>
        </w:tc>
        <w:tc>
          <w:tcPr>
            <w:tcW w:type="dxa" w:w="1728"/>
            <w:shd w:val="clear" w:color="auto" w:fill="FAFAFA"/>
          </w:tcPr>
          <w:p>
            <w:r>
              <w:t>Models the logical software modules, middleware blocks, internal interfaces, and data-flow dependencies within the boundary.</w:t>
            </w:r>
          </w:p>
        </w:tc>
      </w:tr>
      <w:tr>
        <w:tc>
          <w:tcPr>
            <w:tcW w:type="dxa" w:w="1728"/>
          </w:tcPr>
          <w:p>
            <w:r>
              <w:rPr>
                <w:b/>
              </w:rPr>
              <w:t>Deployment Diagram</w:t>
            </w:r>
          </w:p>
        </w:tc>
        <w:tc>
          <w:tcPr>
            <w:tcW w:type="dxa" w:w="1728"/>
          </w:tcPr>
          <w:p>
            <w:r>
              <w:t>Hardware Nodes, Environments, &amp; Artifacts</w:t>
            </w:r>
          </w:p>
        </w:tc>
        <w:tc>
          <w:tcPr>
            <w:tcW w:type="dxa" w:w="1728"/>
          </w:tcPr>
          <w:p>
            <w:r>
              <w:rPr>
                <w:b/>
              </w:rPr>
              <w:t>Pr</w:t>
            </w:r>
            <w:r>
              <w:t xml:space="preserve"> (Physical Resource) &amp; </w:t>
            </w:r>
            <w:r>
              <w:rPr>
                <w:b/>
              </w:rPr>
              <w:t>Lr-Ic</w:t>
            </w:r>
            <w:r>
              <w:t xml:space="preserve"> (Physical Routing)</w:t>
            </w:r>
          </w:p>
        </w:tc>
        <w:tc>
          <w:tcPr>
            <w:tcW w:type="dxa" w:w="1728"/>
          </w:tcPr>
          <w:p>
            <w:r>
              <w:rPr>
                <w:b/>
              </w:rPr>
              <w:t>SV-2</w:t>
            </w:r>
            <w:r>
              <w:t xml:space="preserve"> (System Resource Flow Description)</w:t>
            </w:r>
          </w:p>
        </w:tc>
        <w:tc>
          <w:tcPr>
            <w:tcW w:type="dxa" w:w="1728"/>
          </w:tcPr>
          <w:p>
            <w:r>
              <w:t>Maps logical software components to physical or virtual hardware nodes, defining the protocols and network ports used at runtime.</w:t>
            </w:r>
          </w:p>
        </w:tc>
      </w:tr>
    </w:tbl>
    <w:p>
      <w:pPr>
        <w:pBdr>
          <w:bottom w:val="single" w:sz="6" w:space="1" w:color="808080"/>
        </w:pBdr>
      </w:pPr>
    </w:p>
    <w:p>
      <w:pPr>
        <w:pStyle w:val="Heading3"/>
      </w:pPr>
      <w:r>
        <w:t>3.2 System Context Diagrams (Boundary &amp; External Integration)</w:t>
      </w:r>
    </w:p>
    <w:p>
      <w:r>
        <w:t xml:space="preserve">The </w:t>
      </w:r>
      <w:r>
        <w:rPr>
          <w:b/>
        </w:rPr>
        <w:t>System Context Diagram</w:t>
      </w:r>
      <w:r>
        <w:t xml:space="preserve"> is a boundary-definition view that treats the HVA as a "black box." It defines the scope of the system under test (SUT) by mapping the interfaces and communication protocols connecting the HVA to external actors and external systems.</w:t>
      </w:r>
    </w:p>
    <w:p>
      <w:pPr>
        <w:pStyle w:val="Heading4"/>
      </w:pPr>
      <w:r>
        <w:t>3.2.1 Core Rules for Context Diagrams</w:t>
      </w:r>
    </w:p>
    <w:p>
      <w:pPr>
        <w:pStyle w:val="ListNumber"/>
      </w:pPr>
      <w:r>
        <w:rPr>
          <w:b/>
        </w:rPr>
        <w:t>The System Black Box:</w:t>
      </w:r>
      <w:r>
        <w:t xml:space="preserve"> The system itself must be modeled as a single logical entity or unified boundary. No internal database schemas, sub-servers, or application routing should be detailed here.</w:t>
      </w:r>
    </w:p>
    <w:p>
      <w:pPr>
        <w:pStyle w:val="ListNumber"/>
      </w:pPr>
      <w:r>
        <w:rPr>
          <w:b/>
        </w:rPr>
        <w:t>Standard Interfaces:</w:t>
      </w:r>
      <w:r>
        <w:t xml:space="preserve"> Every data flow crossing the security boundary must be explicitly labeled with its secure protocol (e.g., </w:t>
      </w:r>
      <w:r>
        <w:rPr>
          <w:i/>
        </w:rPr>
        <w:t>TLS 1.2, IPSec VPN, HTTPS (TCP 443)</w:t>
      </w:r>
      <w:r>
        <w:t>).</w:t>
      </w:r>
    </w:p>
    <w:p>
      <w:pPr>
        <w:pStyle w:val="ListNumber"/>
      </w:pPr>
      <w:r>
        <w:rPr>
          <w:b/>
        </w:rPr>
        <w:t>Boundary Identification:</w:t>
      </w:r>
      <w:r>
        <w:t xml:space="preserve"> External entities must be categorized as either </w:t>
      </w:r>
      <w:r>
        <w:rPr>
          <w:i/>
        </w:rPr>
        <w:t>External Actors</w:t>
      </w:r>
      <w:r>
        <w:t xml:space="preserve"> (human users), </w:t>
      </w:r>
      <w:r>
        <w:rPr>
          <w:i/>
        </w:rPr>
        <w:t>External Systems</w:t>
      </w:r>
      <w:r>
        <w:t xml:space="preserve"> (third-party systems outside DCSA control), or </w:t>
      </w:r>
      <w:r>
        <w:rPr>
          <w:i/>
        </w:rPr>
        <w:t>BIES Partner Systems</w:t>
      </w:r>
      <w:r>
        <w:t xml:space="preserve"> (other HVAs inside the portfolio).</w:t>
      </w:r>
    </w:p>
    <w:p>
      <w:pPr>
        <w:pStyle w:val="Heading4"/>
      </w:pPr>
      <w:r>
        <w:t>3.2.2 Standard Context Template (Mermaid)</w:t>
      </w:r>
    </w:p>
    <w:p>
      <w:r>
        <w:t>The following script represents the formal architectural template to be used when establishing an HVA's System Context view:</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Interfaces and Users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External_Entities ["External Domain (Outside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Actor_User["«Actor»&lt;br&gt;System User / Client"]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Ext_System["«External System»&lt;br&gt;Third-Party Partner API"]</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HVA Authorized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HVA_Security_Boundary ["HVA Security Boundary (System Under Test)"]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HVA_Core["«System»&lt;br&gt;Target High-Value Asset&lt;br&gt;(Logical Unified Black-Box)"]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Internal Portfolio Partners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BIES_Portfolio ["BIES Shared Services Domain"]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BIES_Partner["«System»&lt;br&gt;BIES Partner HVA&lt;br&gt;(e.g., PIPS / NP2)"]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Logical Flows and Protocol Annotations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Actor_User --&gt;|"HTTPS (TCP 443)&lt;br&gt;Client Requests"| HVA_Core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HVA_Core --&gt;|"IPSec VPN (TLS 1.2)&lt;br&gt;Bi-Directional Query Exchange"| Ext_System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BIES_Partner --&gt;|"Secure Web Services (TLS 1.2)&lt;br&gt;Payload Processing"| HVA_Core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Styling Elements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boundary fill:#fcfcfc,stroke:#333,stroke-width:2px,stroke-dasharray: 5 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hva fill:#e3f2fd,stroke:#1565c0,stroke-width:2px;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partner fill:#e8f5e9,stroke:#2e7d32,stroke-width:2px;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ext fill:#fbe9e7,stroke:#d84315,stroke-width:2px;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HVA_Security_Boundary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HVA_Core hva;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BIES_Portfolio partner;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External_Entities ext;</w:t>
      </w:r>
    </w:p>
    <w:p>
      <w:pPr>
        <w:pBdr>
          <w:bottom w:val="single" w:sz="6" w:space="1" w:color="808080"/>
        </w:pBdr>
      </w:pPr>
    </w:p>
    <w:p>
      <w:pPr>
        <w:pStyle w:val="Heading3"/>
      </w:pPr>
      <w:r>
        <w:t>3.3 Component Diagrams (Logical Software Architecture)</w:t>
      </w:r>
    </w:p>
    <w:p>
      <w:r>
        <w:t xml:space="preserve">The </w:t>
      </w:r>
      <w:r>
        <w:rPr>
          <w:b/>
        </w:rPr>
        <w:t>Component Diagram</w:t>
      </w:r>
      <w:r>
        <w:t xml:space="preserve"> peers inside the HVA’s security boundary to show the logical software components, modules, and interfaces that execute the system's business rules. This view describes the structural assembly of the system's codebase, independent of the underlying physical hardware.</w:t>
      </w:r>
    </w:p>
    <w:p>
      <w:pPr>
        <w:pStyle w:val="Heading4"/>
      </w:pPr>
      <w:r>
        <w:t>3.3.1 Core Rules for Component Diagrams</w:t>
      </w:r>
    </w:p>
    <w:p>
      <w:pPr>
        <w:pStyle w:val="ListNumber"/>
      </w:pPr>
      <w:r>
        <w:rPr>
          <w:b/>
        </w:rPr>
        <w:t>Encapsulation:</w:t>
      </w:r>
      <w:r>
        <w:t xml:space="preserve"> Software modules must be modeled as encapsulated </w:t>
      </w:r>
      <w:r>
        <w:rPr>
          <w:rFonts w:ascii="Consolas" w:hAnsi="Consolas"/>
        </w:rPr>
        <w:t>«Component»</w:t>
      </w:r>
      <w:r>
        <w:t xml:space="preserve"> blocks (e.g., data processors, validation engines, reverse proxies).</w:t>
      </w:r>
    </w:p>
    <w:p>
      <w:pPr>
        <w:pStyle w:val="ListNumber"/>
      </w:pPr>
      <w:r>
        <w:rPr>
          <w:b/>
        </w:rPr>
        <w:t>Interface Contracts:</w:t>
      </w:r>
      <w:r>
        <w:t xml:space="preserve"> Component-to-component interfaces must define the mechanism of communication (e.g., </w:t>
      </w:r>
      <w:r>
        <w:rPr>
          <w:i/>
        </w:rPr>
        <w:t>RESTful API, SOAP Web Services, JDBC Connection</w:t>
      </w:r>
      <w:r>
        <w:t>).</w:t>
      </w:r>
    </w:p>
    <w:p>
      <w:pPr>
        <w:pStyle w:val="ListNumber"/>
      </w:pPr>
      <w:r>
        <w:rPr>
          <w:b/>
        </w:rPr>
        <w:t>Dependency Tracing:</w:t>
      </w:r>
      <w:r>
        <w:t xml:space="preserve"> Dependencies must be represented as directional arrows showing which component relies on another's provided services.</w:t>
      </w:r>
    </w:p>
    <w:p>
      <w:pPr>
        <w:pStyle w:val="Heading4"/>
      </w:pPr>
      <w:r>
        <w:t>3.3.2 Standard Component Template (Mermaid)</w:t>
      </w:r>
    </w:p>
    <w:p>
      <w:r>
        <w:t>The following script represents the formal architectural template to be used when establishing an HVA's Component view:</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HVA_Software_Boundary ["Logical System Software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Component Definitions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Proxy_Comp["«Component»&lt;br&gt;Web Ingress &amp; Proxy Controller"]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Logic_Comp["«Component»&lt;br&gt;Business Logic Engine"]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DB_Broker["«Component»&lt;br&gt;Database Access Broker"]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Shared Middleware and Services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Middleware_Services ["Core Middleware Tiers"]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Auth_Service["«Component»&lt;br&gt;Security &amp; Auth Validator"]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Queue_Manager["«Component»&lt;br&gt;Message Queue Broker"]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Interface Call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Client_Traffic["External Client HTTP Traffic"] --&gt;|Exposes Public Port| Proxy_Comp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Internal Software Dependencies &amp; Interfaces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Proxy_Comp -.-&gt;|Requires Authentication| Auth_Service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Proxy_Comp --&gt;|"Invokes REST API&lt;br&gt;(JSON payload)"| Logic_Comp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Logic_Comp --&gt;|"Enqueues Transaction&lt;br&gt;(AMQP / TCP 5672)"| Queue_Manager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Logic_Comp --&gt;|"Queries Logic&lt;br&gt;(Entity Beans)"| DB_Broker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Styling Elements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compStyle fill:#e6f4ea,stroke:#137333,stroke-width:2px;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extStyle fill:#f1f3f4,stroke:#5f6368,stroke-width:2px;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Proxy_Comp,Logic_Comp,DB_Broker,Auth_Service,Queue_Manager compStyle;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Client_Traffic extStyle;</w:t>
      </w:r>
    </w:p>
    <w:p>
      <w:pPr>
        <w:pBdr>
          <w:bottom w:val="single" w:sz="6" w:space="1" w:color="808080"/>
        </w:pBdr>
      </w:pPr>
    </w:p>
    <w:p>
      <w:pPr>
        <w:pStyle w:val="Heading3"/>
      </w:pPr>
      <w:r>
        <w:t>3.4 Deployment Diagrams (Physical Hardware/Execution Mapping)</w:t>
      </w:r>
    </w:p>
    <w:p>
      <w:r>
        <w:t xml:space="preserve">The </w:t>
      </w:r>
      <w:r>
        <w:rPr>
          <w:b/>
        </w:rPr>
        <w:t>Deployment Diagram</w:t>
      </w:r>
      <w:r>
        <w:t xml:space="preserve"> maps the logical software components and compiled artifacts defined in the Component Diagram onto concrete, physical execution environments and hardware nodes. For our cloud-native "To-Be" state, this diagram is the primary tool used to plan VPC layouts, EC2 server sizing, database provisioning, and security group rules.</w:t>
      </w:r>
    </w:p>
    <w:p>
      <w:pPr>
        <w:pStyle w:val="Heading4"/>
      </w:pPr>
      <w:r>
        <w:t>3.4.1 Core Rules for Deployment Diagrams</w:t>
      </w:r>
    </w:p>
    <w:p>
      <w:pPr>
        <w:pStyle w:val="ListNumber"/>
      </w:pPr>
      <w:r>
        <w:rPr>
          <w:b/>
        </w:rPr>
        <w:t>Node Classification:</w:t>
      </w:r>
      <w:r>
        <w:t xml:space="preserve"> Physical or virtual hardware must be represented as </w:t>
      </w:r>
      <w:r>
        <w:rPr>
          <w:rFonts w:ascii="Consolas" w:hAnsi="Consolas"/>
        </w:rPr>
        <w:t>«Node»</w:t>
      </w:r>
      <w:r>
        <w:t xml:space="preserve"> blocks (e.g., </w:t>
      </w:r>
      <w:r>
        <w:rPr>
          <w:i/>
        </w:rPr>
        <w:t>Amazon EC2 virtual machine, Amazon RDS engine, FWS client laptop</w:t>
      </w:r>
      <w:r>
        <w:t>).</w:t>
      </w:r>
    </w:p>
    <w:p>
      <w:pPr>
        <w:pStyle w:val="ListNumber"/>
      </w:pPr>
      <w:r>
        <w:rPr>
          <w:b/>
        </w:rPr>
        <w:t>Execution Environments:</w:t>
      </w:r>
      <w:r>
        <w:t xml:space="preserve"> The OS, middleware platform, or application servers hosting the runtime components must be labeled as </w:t>
      </w:r>
      <w:r>
        <w:rPr>
          <w:rFonts w:ascii="Consolas" w:hAnsi="Consolas"/>
        </w:rPr>
        <w:t>«Execution Environment»</w:t>
      </w:r>
      <w:r>
        <w:t xml:space="preserve"> (e.g., </w:t>
      </w:r>
      <w:r>
        <w:rPr>
          <w:i/>
        </w:rPr>
        <w:t>Red Hat Enterprise Linux, Oracle WebLogic, JVM</w:t>
      </w:r>
      <w:r>
        <w:t>).</w:t>
      </w:r>
    </w:p>
    <w:p>
      <w:pPr>
        <w:pStyle w:val="ListNumber"/>
      </w:pPr>
      <w:r>
        <w:rPr>
          <w:b/>
        </w:rPr>
        <w:t>Artifact Mapping:</w:t>
      </w:r>
      <w:r>
        <w:t xml:space="preserve"> The physical compiled files (e.g., </w:t>
      </w:r>
      <w:r>
        <w:rPr>
          <w:rFonts w:ascii="Consolas" w:hAnsi="Consolas"/>
        </w:rPr>
        <w:t>.war</w:t>
      </w:r>
      <w:r>
        <w:t xml:space="preserve">, </w:t>
      </w:r>
      <w:r>
        <w:rPr>
          <w:rFonts w:ascii="Consolas" w:hAnsi="Consolas"/>
        </w:rPr>
        <w:t>.jar</w:t>
      </w:r>
      <w:r>
        <w:t xml:space="preserve">, </w:t>
      </w:r>
      <w:r>
        <w:rPr>
          <w:rFonts w:ascii="Consolas" w:hAnsi="Consolas"/>
        </w:rPr>
        <w:t>.ear</w:t>
      </w:r>
      <w:r>
        <w:t xml:space="preserve">) deployed onto nodes must be explicitly mapped as </w:t>
      </w:r>
      <w:r>
        <w:rPr>
          <w:rFonts w:ascii="Consolas" w:hAnsi="Consolas"/>
        </w:rPr>
        <w:t>«Artifact»</w:t>
      </w:r>
      <w:r>
        <w:t xml:space="preserve"> nodes nested within their respective execution environments.</w:t>
      </w:r>
    </w:p>
    <w:p>
      <w:pPr>
        <w:pStyle w:val="Heading4"/>
      </w:pPr>
      <w:r>
        <w:t>3.4.2 Standard Deployment Template (Mermaid)</w:t>
      </w:r>
    </w:p>
    <w:p>
      <w:r>
        <w:t>The following script represents the formal architectural template to be used when establishing an HVA's Target Cloud Deployment view:</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AWS_Cloud_Boundary ["AWS GovCloud IL5 Security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Web Tier Node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Web_Subnet ["Block: Web Tier Subnet"]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Web_EC2 ["«Node: Amazon EC2 Instance»"]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Web_OS ["«Execution Environment: RHEL»"]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Proxy_Artifact["«Artifact»&lt;br&gt;reverse_proxy.conf"]</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Application Tier Node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App_Subnet ["Block: Application Tier Subnet"]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App_EC2 ["«Node: Amazon EC2 Instance»"]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App_JVM ["«Execution Environment: JVM»"]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Core_App_Artifact["«Artifact»&lt;br&gt;core_engine.jar"]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Database Tier Node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DB_Subnet ["Block: Database Tier Subnet"]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RDS_Node ["«Node: Amazon RDS DB»"]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Oracle_EE ["«Execution Environment: Oracle 19c»"]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DB_Schema_Artifact["«Artifact»&lt;br&gt;HVA_System_Schema"]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Network Routing and Security Group Protocols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Proxy_Artifact --&gt;|"HTTPS / TLS 1.2&lt;br&gt;(TCP Port 8443)"| Core_App_Artifact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Core_App_Artifact --&gt;|"JDBC / Cryptographic TLS&lt;br&gt;(TCP Port 1521)"| DB_Schema_Artifact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Styling Elements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nodeStyle fill:#f3f3f3,stroke:#ff9900,stroke-width:2px;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eeStyle fill:#e1f5fe,stroke:#0288d1,stroke-width:2px;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artifactStyle fill:#fef7e0,stroke:#b06000,stroke-width:2px;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Web_EC2,App_EC2,RDS_Node nodeStyle;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Web_OS,App_JVM,Oracle_EE eeStyle;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Proxy_Artifact,Core_App_Artifact,DB_Schema_Artifact artifactStyle;</w:t>
      </w:r>
    </w:p>
    <w:p>
      <w:pPr>
        <w:pBdr>
          <w:bottom w:val="single" w:sz="6" w:space="1" w:color="808080"/>
        </w:pBdr>
      </w:pPr>
    </w:p>
    <w:p>
      <w:pPr>
        <w:pStyle w:val="Heading2"/>
      </w:pPr>
      <w:r>
        <w:t>Appendix A: BIES Architecture Guidelines Task Tracker</w:t>
      </w:r>
    </w:p>
    <w:p>
      <w:r>
        <w:t>To manage the continuous development of this SoS architectural guidelines release, the modeling and engineering teams must track and update the status of the following key milestones.</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234"/>
        <w:gridCol w:w="1234"/>
        <w:gridCol w:w="1234"/>
        <w:gridCol w:w="1234"/>
        <w:gridCol w:w="1234"/>
        <w:gridCol w:w="1234"/>
        <w:gridCol w:w="1234"/>
      </w:tblGrid>
      <w:tr>
        <w:tc>
          <w:tcPr>
            <w:tcW w:type="dxa" w:w="1234"/>
            <w:shd w:val="clear" w:color="auto" w:fill="F1F3F4"/>
          </w:tcPr>
          <w:p>
            <w:r>
              <w:rPr>
                <w:b/>
              </w:rPr>
              <w:t>Task ID</w:t>
            </w:r>
          </w:p>
        </w:tc>
        <w:tc>
          <w:tcPr>
            <w:tcW w:type="dxa" w:w="1234"/>
            <w:shd w:val="clear" w:color="auto" w:fill="F1F3F4"/>
          </w:tcPr>
          <w:p>
            <w:r>
              <w:rPr>
                <w:b/>
              </w:rPr>
              <w:t>Task Category</w:t>
            </w:r>
          </w:p>
        </w:tc>
        <w:tc>
          <w:tcPr>
            <w:tcW w:type="dxa" w:w="1234"/>
            <w:shd w:val="clear" w:color="auto" w:fill="F1F3F4"/>
          </w:tcPr>
          <w:p>
            <w:r>
              <w:rPr>
                <w:b/>
              </w:rPr>
              <w:t>Section / Topic Reference</w:t>
            </w:r>
          </w:p>
        </w:tc>
        <w:tc>
          <w:tcPr>
            <w:tcW w:type="dxa" w:w="1234"/>
            <w:shd w:val="clear" w:color="auto" w:fill="F1F3F4"/>
          </w:tcPr>
          <w:p>
            <w:r>
              <w:rPr>
                <w:b/>
              </w:rPr>
              <w:t>Detailed Task Description</w:t>
            </w:r>
          </w:p>
        </w:tc>
        <w:tc>
          <w:tcPr>
            <w:tcW w:type="dxa" w:w="1234"/>
            <w:shd w:val="clear" w:color="auto" w:fill="F1F3F4"/>
          </w:tcPr>
          <w:p>
            <w:r>
              <w:rPr>
                <w:b/>
              </w:rPr>
              <w:t>Assigned Owner</w:t>
            </w:r>
          </w:p>
        </w:tc>
        <w:tc>
          <w:tcPr>
            <w:tcW w:type="dxa" w:w="1234"/>
            <w:shd w:val="clear" w:color="auto" w:fill="F1F3F4"/>
          </w:tcPr>
          <w:p>
            <w:r>
              <w:rPr>
                <w:b/>
              </w:rPr>
              <w:t>Status</w:t>
            </w:r>
          </w:p>
        </w:tc>
        <w:tc>
          <w:tcPr>
            <w:tcW w:type="dxa" w:w="1234"/>
            <w:shd w:val="clear" w:color="auto" w:fill="F1F3F4"/>
          </w:tcPr>
          <w:p>
            <w:r>
              <w:rPr>
                <w:b/>
              </w:rPr>
              <w:t>Target Completion</w:t>
            </w:r>
          </w:p>
        </w:tc>
      </w:tr>
      <w:tr>
        <w:tc>
          <w:tcPr>
            <w:tcW w:type="dxa" w:w="1234"/>
          </w:tcPr>
          <w:p>
            <w:r>
              <w:rPr>
                <w:b/>
              </w:rPr>
              <w:t>TSK-001</w:t>
            </w:r>
          </w:p>
        </w:tc>
        <w:tc>
          <w:tcPr>
            <w:tcW w:type="dxa" w:w="1234"/>
          </w:tcPr>
          <w:p>
            <w:r>
              <w:t>AWS Mapping</w:t>
            </w:r>
          </w:p>
        </w:tc>
        <w:tc>
          <w:tcPr>
            <w:tcW w:type="dxa" w:w="1234"/>
          </w:tcPr>
          <w:p>
            <w:r>
              <w:rPr>
                <w:b/>
              </w:rPr>
              <w:t>5.2</w:t>
            </w:r>
            <w:r>
              <w:t xml:space="preserve"> Cloud Transition</w:t>
            </w:r>
          </w:p>
        </w:tc>
        <w:tc>
          <w:tcPr>
            <w:tcW w:type="dxa" w:w="1234"/>
          </w:tcPr>
          <w:p>
            <w:r>
              <w:t>Map the eQIP System's SysML taxonomy (System, Block, Component, Part) to standard AWS GovCloud managed resources.</w:t>
            </w:r>
          </w:p>
        </w:tc>
        <w:tc>
          <w:tcPr>
            <w:tcW w:type="dxa" w:w="1234"/>
          </w:tcPr>
          <w:p>
            <w:r>
              <w:t>Lead Cloud Architect</w:t>
            </w:r>
          </w:p>
        </w:tc>
        <w:tc>
          <w:tcPr>
            <w:tcW w:type="dxa" w:w="1234"/>
          </w:tcPr>
          <w:p>
            <w:r>
              <w:rPr>
                <w:b/>
              </w:rPr>
              <w:t>Not Started</w:t>
            </w:r>
          </w:p>
        </w:tc>
        <w:tc>
          <w:tcPr>
            <w:tcW w:type="dxa" w:w="1234"/>
          </w:tcPr>
          <w:p>
            <w:r>
              <w:t>Q3 2026</w:t>
            </w:r>
          </w:p>
        </w:tc>
      </w:tr>
      <w:tr>
        <w:tc>
          <w:tcPr>
            <w:tcW w:type="dxa" w:w="1234"/>
            <w:shd w:val="clear" w:color="auto" w:fill="FAFAFA"/>
          </w:tcPr>
          <w:p>
            <w:r>
              <w:rPr>
                <w:b/>
              </w:rPr>
              <w:t>TSK-002</w:t>
            </w:r>
          </w:p>
        </w:tc>
        <w:tc>
          <w:tcPr>
            <w:tcW w:type="dxa" w:w="1234"/>
            <w:shd w:val="clear" w:color="auto" w:fill="FAFAFA"/>
          </w:tcPr>
          <w:p>
            <w:r>
              <w:t>Security Trace</w:t>
            </w:r>
          </w:p>
        </w:tc>
        <w:tc>
          <w:tcPr>
            <w:tcW w:type="dxa" w:w="1234"/>
            <w:shd w:val="clear" w:color="auto" w:fill="FAFAFA"/>
          </w:tcPr>
          <w:p>
            <w:r>
              <w:rPr>
                <w:b/>
              </w:rPr>
              <w:t>5.3</w:t>
            </w:r>
            <w:r>
              <w:t xml:space="preserve"> Security Guardrails</w:t>
            </w:r>
          </w:p>
        </w:tc>
        <w:tc>
          <w:tcPr>
            <w:tcW w:type="dxa" w:w="1234"/>
            <w:shd w:val="clear" w:color="auto" w:fill="FAFAFA"/>
          </w:tcPr>
          <w:p>
            <w:r>
              <w:t>Trace NIST SP 800-53 security controls to specific software components in the ARC-Nlets Component Diagram.</w:t>
            </w:r>
          </w:p>
        </w:tc>
        <w:tc>
          <w:tcPr>
            <w:tcW w:type="dxa" w:w="1234"/>
            <w:shd w:val="clear" w:color="auto" w:fill="FAFAFA"/>
          </w:tcPr>
          <w:p>
            <w:r>
              <w:t>Lead Security Engineer</w:t>
            </w:r>
          </w:p>
        </w:tc>
        <w:tc>
          <w:tcPr>
            <w:tcW w:type="dxa" w:w="1234"/>
            <w:shd w:val="clear" w:color="auto" w:fill="FAFAFA"/>
          </w:tcPr>
          <w:p>
            <w:r>
              <w:rPr>
                <w:b/>
              </w:rPr>
              <w:t>Not Started</w:t>
            </w:r>
          </w:p>
        </w:tc>
        <w:tc>
          <w:tcPr>
            <w:tcW w:type="dxa" w:w="1234"/>
            <w:shd w:val="clear" w:color="auto" w:fill="FAFAFA"/>
          </w:tcPr>
          <w:p>
            <w:r>
              <w:t>Q4 2026</w:t>
            </w:r>
          </w:p>
        </w:tc>
      </w:tr>
      <w:tr>
        <w:tc>
          <w:tcPr>
            <w:tcW w:type="dxa" w:w="1234"/>
          </w:tcPr>
          <w:p>
            <w:r>
              <w:rPr>
                <w:b/>
              </w:rPr>
              <w:t>TSK-003</w:t>
            </w:r>
          </w:p>
        </w:tc>
        <w:tc>
          <w:tcPr>
            <w:tcW w:type="dxa" w:w="1234"/>
          </w:tcPr>
          <w:p>
            <w:r>
              <w:t>Artifact Mapping</w:t>
            </w:r>
          </w:p>
        </w:tc>
        <w:tc>
          <w:tcPr>
            <w:tcW w:type="dxa" w:w="1234"/>
          </w:tcPr>
          <w:p>
            <w:r>
              <w:rPr>
                <w:b/>
              </w:rPr>
              <w:t>4.0</w:t>
            </w:r>
            <w:r>
              <w:t xml:space="preserve"> System Profiles</w:t>
            </w:r>
          </w:p>
        </w:tc>
        <w:tc>
          <w:tcPr>
            <w:tcW w:type="dxa" w:w="1234"/>
          </w:tcPr>
          <w:p>
            <w:r>
              <w:t xml:space="preserve">Define the physical deployment artifacts (schemas, </w:t>
            </w:r>
            <w:r>
              <w:rPr>
                <w:rFonts w:ascii="Consolas" w:hAnsi="Consolas"/>
              </w:rPr>
              <w:t>.jar</w:t>
            </w:r>
            <w:r>
              <w:t xml:space="preserve"> files, config properties) for the core PIPS database migration.</w:t>
            </w:r>
          </w:p>
        </w:tc>
        <w:tc>
          <w:tcPr>
            <w:tcW w:type="dxa" w:w="1234"/>
          </w:tcPr>
          <w:p>
            <w:r>
              <w:t>Principal Software Engineer</w:t>
            </w:r>
          </w:p>
        </w:tc>
        <w:tc>
          <w:tcPr>
            <w:tcW w:type="dxa" w:w="1234"/>
          </w:tcPr>
          <w:p>
            <w:r>
              <w:rPr>
                <w:b/>
              </w:rPr>
              <w:t>Not Started</w:t>
            </w:r>
          </w:p>
        </w:tc>
        <w:tc>
          <w:tcPr>
            <w:tcW w:type="dxa" w:w="1234"/>
          </w:tcPr>
          <w:p>
            <w:r>
              <w:t>Q4 2026</w:t>
            </w:r>
          </w:p>
        </w:tc>
      </w:tr>
      <w:tr>
        <w:tc>
          <w:tcPr>
            <w:tcW w:type="dxa" w:w="1234"/>
            <w:shd w:val="clear" w:color="auto" w:fill="FAFAFA"/>
          </w:tcPr>
          <w:p>
            <w:r>
              <w:rPr>
                <w:b/>
              </w:rPr>
              <w:t>TSK-004</w:t>
            </w:r>
          </w:p>
        </w:tc>
        <w:tc>
          <w:tcPr>
            <w:tcW w:type="dxa" w:w="1234"/>
            <w:shd w:val="clear" w:color="auto" w:fill="FAFAFA"/>
          </w:tcPr>
          <w:p>
            <w:r>
              <w:t>System Profiles</w:t>
            </w:r>
          </w:p>
        </w:tc>
        <w:tc>
          <w:tcPr>
            <w:tcW w:type="dxa" w:w="1234"/>
            <w:shd w:val="clear" w:color="auto" w:fill="FAFAFA"/>
          </w:tcPr>
          <w:p>
            <w:r>
              <w:rPr>
                <w:b/>
              </w:rPr>
              <w:t>4.0</w:t>
            </w:r>
            <w:r>
              <w:t xml:space="preserve"> System Profiles</w:t>
            </w:r>
          </w:p>
        </w:tc>
        <w:tc>
          <w:tcPr>
            <w:tcW w:type="dxa" w:w="1234"/>
            <w:shd w:val="clear" w:color="auto" w:fill="FAFAFA"/>
          </w:tcPr>
          <w:p>
            <w:r>
              <w:t>Write Section 4.0 containing the baseline "As-Is" architectural profiles for ARC-Nlets, eQIP, and NP2.</w:t>
            </w:r>
          </w:p>
        </w:tc>
        <w:tc>
          <w:tcPr>
            <w:tcW w:type="dxa" w:w="1234"/>
            <w:shd w:val="clear" w:color="auto" w:fill="FAFAFA"/>
          </w:tcPr>
          <w:p>
            <w:r>
              <w:t>BIES Enterprise Architect</w:t>
            </w:r>
          </w:p>
        </w:tc>
        <w:tc>
          <w:tcPr>
            <w:tcW w:type="dxa" w:w="1234"/>
            <w:shd w:val="clear" w:color="auto" w:fill="FAFAFA"/>
          </w:tcPr>
          <w:p>
            <w:r>
              <w:rPr>
                <w:b/>
              </w:rPr>
              <w:t>In Progress</w:t>
            </w:r>
          </w:p>
        </w:tc>
        <w:tc>
          <w:tcPr>
            <w:tcW w:type="dxa" w:w="1234"/>
            <w:shd w:val="clear" w:color="auto" w:fill="FAFAFA"/>
          </w:tcPr>
          <w:p>
            <w:r>
              <w:t>Q2 2026</w:t>
            </w:r>
          </w:p>
        </w:tc>
      </w:tr>
      <w:tr>
        <w:tc>
          <w:tcPr>
            <w:tcW w:type="dxa" w:w="1234"/>
          </w:tcPr>
          <w:p>
            <w:r>
              <w:rPr>
                <w:b/>
              </w:rPr>
              <w:t>TSK-005</w:t>
            </w:r>
          </w:p>
        </w:tc>
        <w:tc>
          <w:tcPr>
            <w:tcW w:type="dxa" w:w="1234"/>
          </w:tcPr>
          <w:p>
            <w:r>
              <w:t>Cloud Transition</w:t>
            </w:r>
          </w:p>
        </w:tc>
        <w:tc>
          <w:tcPr>
            <w:tcW w:type="dxa" w:w="1234"/>
          </w:tcPr>
          <w:p>
            <w:r>
              <w:rPr>
                <w:b/>
              </w:rPr>
              <w:t>5.0</w:t>
            </w:r>
            <w:r>
              <w:t xml:space="preserve"> GovCloud Transition</w:t>
            </w:r>
          </w:p>
        </w:tc>
        <w:tc>
          <w:tcPr>
            <w:tcW w:type="dxa" w:w="1234"/>
          </w:tcPr>
          <w:p>
            <w:r>
              <w:t>Draft Section 5.0 detailing the Hub-and-Spoke VPC topology and security guardrails for AWS GovCloud.</w:t>
            </w:r>
          </w:p>
        </w:tc>
        <w:tc>
          <w:tcPr>
            <w:tcW w:type="dxa" w:w="1234"/>
          </w:tcPr>
          <w:p>
            <w:r>
              <w:t>Lead Cloud Architect</w:t>
            </w:r>
          </w:p>
        </w:tc>
        <w:tc>
          <w:tcPr>
            <w:tcW w:type="dxa" w:w="1234"/>
          </w:tcPr>
          <w:p>
            <w:r>
              <w:rPr>
                <w:b/>
              </w:rPr>
              <w:t>Planned</w:t>
            </w:r>
          </w:p>
        </w:tc>
        <w:tc>
          <w:tcPr>
            <w:tcW w:type="dxa" w:w="1234"/>
          </w:tcPr>
          <w:p>
            <w:r>
              <w:t>Q2 2026</w:t>
            </w:r>
          </w:p>
        </w:tc>
      </w:tr>
      <w:tr>
        <w:tc>
          <w:tcPr>
            <w:tcW w:type="dxa" w:w="1234"/>
            <w:shd w:val="clear" w:color="auto" w:fill="FAFAFA"/>
          </w:tcPr>
          <w:p>
            <w:r>
              <w:rPr>
                <w:b/>
              </w:rPr>
              <w:t>TSK-006</w:t>
            </w:r>
          </w:p>
        </w:tc>
        <w:tc>
          <w:tcPr>
            <w:tcW w:type="dxa" w:w="1234"/>
            <w:shd w:val="clear" w:color="auto" w:fill="FAFAFA"/>
          </w:tcPr>
          <w:p>
            <w:r>
              <w:t>Citation Control</w:t>
            </w:r>
          </w:p>
        </w:tc>
        <w:tc>
          <w:tcPr>
            <w:tcW w:type="dxa" w:w="1234"/>
            <w:shd w:val="clear" w:color="auto" w:fill="FAFAFA"/>
          </w:tcPr>
          <w:p>
            <w:r>
              <w:rPr>
                <w:b/>
              </w:rPr>
              <w:t>Control Preamble</w:t>
            </w:r>
          </w:p>
        </w:tc>
        <w:tc>
          <w:tcPr>
            <w:tcW w:type="dxa" w:w="1234"/>
            <w:shd w:val="clear" w:color="auto" w:fill="FAFAFA"/>
          </w:tcPr>
          <w:p>
            <w:r>
              <w:t xml:space="preserve">Initialize the companion </w:t>
            </w:r>
            <w:r>
              <w:rPr>
                <w:b/>
              </w:rPr>
              <w:t>BIES Citation Tracker Spreadsheet</w:t>
            </w:r>
            <w:r>
              <w:t xml:space="preserve"> inside the </w:t>
            </w:r>
            <w:r>
              <w:rPr>
                <w:rFonts w:ascii="Consolas" w:hAnsi="Consolas"/>
              </w:rPr>
              <w:t>Architecture1</w:t>
            </w:r>
            <w:r>
              <w:t xml:space="preserve"> repository and log initial entries.</w:t>
            </w:r>
          </w:p>
        </w:tc>
        <w:tc>
          <w:tcPr>
            <w:tcW w:type="dxa" w:w="1234"/>
            <w:shd w:val="clear" w:color="auto" w:fill="FAFAFA"/>
          </w:tcPr>
          <w:p>
            <w:r>
              <w:t>Lead Technical Writer</w:t>
            </w:r>
          </w:p>
        </w:tc>
        <w:tc>
          <w:tcPr>
            <w:tcW w:type="dxa" w:w="1234"/>
            <w:shd w:val="clear" w:color="auto" w:fill="FAFAFA"/>
          </w:tcPr>
          <w:p>
            <w:r>
              <w:rPr>
                <w:b/>
              </w:rPr>
              <w:t>Not Started</w:t>
            </w:r>
          </w:p>
        </w:tc>
        <w:tc>
          <w:tcPr>
            <w:tcW w:type="dxa" w:w="1234"/>
            <w:shd w:val="clear" w:color="auto" w:fill="FAFAFA"/>
          </w:tcPr>
          <w:p>
            <w:r>
              <w:t>Q1 2026</w:t>
            </w:r>
          </w:p>
        </w:tc>
      </w:tr>
    </w:tbl>
    <w:p>
      <w:r>
        <w:rPr>
          <w:i/>
        </w:rPr>
        <w:t xml:space="preserve">Note: All task status updates and modifications must be version-controlled through push requests inside our primary </w:t>
      </w:r>
      <w:r>
        <w:rPr>
          <w:rFonts w:ascii="Consolas" w:hAnsi="Consolas"/>
          <w:b/>
          <w:i/>
        </w:rPr>
        <w:t>Architecture1</w:t>
      </w:r>
      <w:r>
        <w:rPr>
          <w:i/>
        </w:rPr>
        <w:t xml:space="preserve">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