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4F46E5"/>
          <w:sz w:val="56"/>
          <w:szCs w:val="56"/>
        </w:rPr>
        <w:t xml:space="preserve">VisitorID™</w:t>
      </w:r>
    </w:p>
    <w:p>
      <w:pPr>
        <w:spacing w:after="400"/>
        <w:jc w:val="center"/>
      </w:pPr>
      <w:r>
        <w:rPr>
          <w:rFonts w:ascii="Arial" w:cs="Arial" w:eastAsia="Arial" w:hAnsi="Arial"/>
          <w:color w:val="1E293B"/>
          <w:sz w:val="40"/>
          <w:szCs w:val="40"/>
        </w:rPr>
        <w:t xml:space="preserve">Intent-Based Email Outreach System</w:t>
      </w:r>
    </w:p>
    <w:p>
      <w:pPr>
        <w:spacing w:after="80"/>
        <w:jc w:val="center"/>
      </w:pPr>
      <w:r>
        <w:rPr>
          <w:rFonts w:ascii="Arial" w:cs="Arial" w:eastAsia="Arial" w:hAnsi="Arial"/>
          <w:color w:val="475569"/>
          <w:sz w:val="24"/>
          <w:szCs w:val="24"/>
        </w:rPr>
        <w:t xml:space="preserve">Architecture &amp; Implementation Specification</w:t>
      </w:r>
    </w:p>
    <w:p>
      <w:pPr>
        <w:spacing w:after="600"/>
        <w:jc w:val="center"/>
      </w:pPr>
      <w:r>
        <w:rPr>
          <w:rFonts w:ascii="Arial" w:cs="Arial" w:eastAsia="Arial" w:hAnsi="Arial"/>
          <w:color w:val="94A3B8"/>
          <w:sz w:val="22"/>
          <w:szCs w:val="22"/>
        </w:rPr>
        <w:t xml:space="preserve">Version 1.0  —  April 8, 2026</w:t>
      </w:r>
    </w:p>
    <w:p>
      <w:pPr>
        <w:pBdr>
          <w:top w:val="single" w:color="CBD5E1" w:sz="2" w:space="12"/>
        </w:pBdr>
        <w:spacing w:after="80" w:before="200"/>
        <w:jc w:val="center"/>
      </w:pPr>
      <w:r>
        <w:rPr>
          <w:rFonts w:ascii="Arial" w:cs="Arial" w:eastAsia="Arial" w:hAnsi="Arial"/>
          <w:color w:val="475569"/>
          <w:sz w:val="22"/>
          <w:szCs w:val="22"/>
        </w:rPr>
        <w:t xml:space="preserve">Prepared by P5 Marketing</w:t>
      </w:r>
    </w:p>
    <w:p>
      <w:pPr>
        <w:jc w:val="center"/>
      </w:pPr>
      <w:r>
        <w:rPr>
          <w:rFonts w:ascii="Arial" w:cs="Arial" w:eastAsia="Arial" w:hAnsi="Arial"/>
          <w:color w:val="94A3B8"/>
          <w:sz w:val="20"/>
          <w:szCs w:val="20"/>
        </w:rPr>
        <w:t xml:space="preserve">For internal engineering and client onboarding use</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b w:val="false"/>
          <w:bCs w:val="false"/>
          <w:color w:val="475569"/>
          <w:sz w:val="22"/>
          <w:szCs w:val="22"/>
        </w:rPr>
        <w:t xml:space="preserve">This document specifies the architecture for adding automated, intent-based email outreach to the VisitorID platform. When a website visitor is identified and their browsing behavior reveals a specific interest (e.g., scoliosis treatment, breast augmentation, event planning), the system will automatically enroll them into a targeted 3-email drip sequence delivered via Instantly.ai.</w:t>
      </w:r>
    </w:p>
    <w:p>
      <w:pPr>
        <w:spacing w:after="120"/>
      </w:pPr>
      <w:r>
        <w:rPr>
          <w:rFonts w:ascii="Arial" w:cs="Arial" w:eastAsia="Arial" w:hAnsi="Arial"/>
          <w:b w:val="false"/>
          <w:bCs w:val="false"/>
          <w:color w:val="475569"/>
          <w:sz w:val="22"/>
          <w:szCs w:val="22"/>
        </w:rPr>
        <w:t xml:space="preserve">The system is designed to be vertical-agnostic and scalable. Campaign buckets are defined by visitor journey stage, not by specific medical conditions or services. This means the same infrastructure supports spine surgeons, plastic surgeons, SaaS companies, venues, and any future vertical without code changes.</w:t>
      </w:r>
    </w:p>
    <w:p>
      <w:pPr>
        <w:pStyle w:val="Heading3"/>
      </w:pPr>
      <w:r>
        <w:rPr>
          <w:rFonts w:ascii="Arial" w:cs="Arial" w:eastAsia="Arial" w:hAnsi="Arial"/>
        </w:rPr>
        <w:t xml:space="preserve">Key Design Principles</w:t>
      </w:r>
    </w:p>
    <w:p>
      <w:pPr>
        <w:pStyle w:val="ListParagraph"/>
        <w:numPr>
          <w:ilvl w:val="0"/>
          <w:numId w:val="2"/>
        </w:numPr>
        <w:spacing w:after="60"/>
      </w:pPr>
      <w:r>
        <w:rPr>
          <w:rFonts w:ascii="Arial" w:cs="Arial" w:eastAsia="Arial" w:hAnsi="Arial"/>
          <w:color w:val="475569"/>
          <w:sz w:val="22"/>
          <w:szCs w:val="22"/>
        </w:rPr>
        <w:t xml:space="preserve">One campaign structure serves all clients in all verticals — variables make each send unique</w:t>
      </w:r>
    </w:p>
    <w:p>
      <w:pPr>
        <w:pStyle w:val="ListParagraph"/>
        <w:numPr>
          <w:ilvl w:val="0"/>
          <w:numId w:val="2"/>
        </w:numPr>
        <w:spacing w:after="60"/>
      </w:pPr>
      <w:r>
        <w:rPr>
          <w:rFonts w:ascii="Arial" w:cs="Arial" w:eastAsia="Arial" w:hAnsi="Arial"/>
          <w:color w:val="475569"/>
          <w:sz w:val="22"/>
          <w:szCs w:val="22"/>
        </w:rPr>
        <w:t xml:space="preserve">Primary interest is computed per visitor; one email sequence per visitor, no overlapping campaigns</w:t>
      </w:r>
    </w:p>
    <w:p>
      <w:pPr>
        <w:pStyle w:val="ListParagraph"/>
        <w:numPr>
          <w:ilvl w:val="0"/>
          <w:numId w:val="2"/>
        </w:numPr>
        <w:spacing w:after="60"/>
      </w:pPr>
      <w:r>
        <w:rPr>
          <w:rFonts w:ascii="Arial" w:cs="Arial" w:eastAsia="Arial" w:hAnsi="Arial"/>
          <w:color w:val="475569"/>
          <w:sz w:val="22"/>
          <w:szCs w:val="22"/>
        </w:rPr>
        <w:t xml:space="preserve">Confidence thresholds and campaign activation are configurable per client from an admin API</w:t>
      </w:r>
    </w:p>
    <w:p>
      <w:pPr>
        <w:pStyle w:val="ListParagraph"/>
        <w:numPr>
          <w:ilvl w:val="0"/>
          <w:numId w:val="2"/>
        </w:numPr>
        <w:spacing w:after="60"/>
      </w:pPr>
      <w:r>
        <w:rPr>
          <w:rFonts w:ascii="Arial" w:cs="Arial" w:eastAsia="Arial" w:hAnsi="Arial"/>
          <w:color w:val="475569"/>
          <w:sz w:val="22"/>
          <w:szCs w:val="22"/>
        </w:rPr>
        <w:t xml:space="preserve">Instantly.ai custom variables ensure every email is content-unique, reducing spam risk</w:t>
      </w:r>
    </w:p>
    <w:p>
      <w:pPr>
        <w:pStyle w:val="ListParagraph"/>
        <w:numPr>
          <w:ilvl w:val="0"/>
          <w:numId w:val="2"/>
        </w:numPr>
        <w:spacing w:after="60"/>
      </w:pPr>
      <w:r>
        <w:rPr>
          <w:rFonts w:ascii="Arial" w:cs="Arial" w:eastAsia="Arial" w:hAnsi="Arial"/>
          <w:color w:val="475569"/>
          <w:sz w:val="22"/>
          <w:szCs w:val="22"/>
        </w:rPr>
        <w:t xml:space="preserve">All enrollment is logged and deduplicated — no visitor receives the same sequence twice</w:t>
      </w:r>
    </w:p>
    <w:p>
      <w:pPr>
        <w:pBdr>
          <w:bottom w:val="single" w:color="CBD5E1" w:sz="2" w:space="8"/>
        </w:pBdr>
        <w:spacing w:after="200" w:before="200"/>
      </w:pPr>
    </w:p>
    <w:p>
      <w:pPr>
        <w:pStyle w:val="Heading1"/>
      </w:pPr>
      <w:r>
        <w:rPr>
          <w:rFonts w:ascii="Arial" w:cs="Arial" w:eastAsia="Arial" w:hAnsi="Arial"/>
        </w:rPr>
        <w:t xml:space="preserve">2. System Overview</w:t>
      </w:r>
    </w:p>
    <w:p>
      <w:pPr>
        <w:spacing w:after="120"/>
      </w:pPr>
      <w:r>
        <w:rPr>
          <w:rFonts w:ascii="Arial" w:cs="Arial" w:eastAsia="Arial" w:hAnsi="Arial"/>
          <w:b w:val="false"/>
          <w:bCs w:val="false"/>
          <w:color w:val="475569"/>
          <w:sz w:val="22"/>
          <w:szCs w:val="22"/>
        </w:rPr>
        <w:t xml:space="preserve">The outreach system adds three new components to the existing VisitorID pipeline:</w:t>
      </w:r>
    </w:p>
    <w:p>
      <w:pPr>
        <w:pStyle w:val="ListParagraph"/>
        <w:numPr>
          <w:ilvl w:val="0"/>
          <w:numId w:val="3"/>
        </w:numPr>
        <w:spacing w:after="60"/>
      </w:pPr>
      <w:r>
        <w:rPr>
          <w:rFonts w:ascii="Arial" w:cs="Arial" w:eastAsia="Arial" w:hAnsi="Arial"/>
          <w:color w:val="475569"/>
          <w:sz w:val="22"/>
          <w:szCs w:val="22"/>
        </w:rPr>
        <w:t xml:space="preserve">Campaign Configuration Layer — database tables defining which campaigns are active, what confidence/tier thresholds apply, and the Instantly campaign IDs to target.</w:t>
      </w:r>
    </w:p>
    <w:p>
      <w:pPr>
        <w:pStyle w:val="ListParagraph"/>
        <w:numPr>
          <w:ilvl w:val="0"/>
          <w:numId w:val="3"/>
        </w:numPr>
        <w:spacing w:after="60"/>
      </w:pPr>
      <w:r>
        <w:rPr>
          <w:rFonts w:ascii="Arial" w:cs="Arial" w:eastAsia="Arial" w:hAnsi="Arial"/>
          <w:color w:val="475569"/>
          <w:sz w:val="22"/>
          <w:szCs w:val="22"/>
        </w:rPr>
        <w:t xml:space="preserve">Primary Interest Engine — logic added to the existing visitor processing cron that determines each visitor’s single most relevant interest and assigns a campaign bucket.</w:t>
      </w:r>
    </w:p>
    <w:p>
      <w:pPr>
        <w:pStyle w:val="ListParagraph"/>
        <w:numPr>
          <w:ilvl w:val="0"/>
          <w:numId w:val="3"/>
        </w:numPr>
        <w:spacing w:after="60"/>
      </w:pPr>
      <w:r>
        <w:rPr>
          <w:rFonts w:ascii="Arial" w:cs="Arial" w:eastAsia="Arial" w:hAnsi="Arial"/>
          <w:color w:val="475569"/>
          <w:sz w:val="22"/>
          <w:szCs w:val="22"/>
        </w:rPr>
        <w:t xml:space="preserve">Instantly Push Cron — a new scheduled job that runs each morning, qualifies visitors against active campaigns, and pushes them to Instantly.ai via API with personalized custom variables.</w:t>
      </w:r>
    </w:p>
    <w:p>
      <w:pPr>
        <w:spacing w:after="120"/>
      </w:pPr>
      <w:r>
        <w:rPr>
          <w:rFonts w:ascii="Arial" w:cs="Arial" w:eastAsia="Arial" w:hAnsi="Arial"/>
          <w:b w:val="false"/>
          <w:bCs w:val="false"/>
          <w:color w:val="475569"/>
          <w:sz w:val="22"/>
          <w:szCs w:val="22"/>
        </w:rPr>
        <w:t xml:space="preserve">These components integrate with the existing pipeline without modifying the current scoring, taxonomy, or dashboard systems. The processing cron gains a new field (primary_interest, campaign_bucket); the push cron is entirely new.</w:t>
      </w:r>
    </w:p>
    <w:p>
      <w:pPr>
        <w:pBdr>
          <w:bottom w:val="single" w:color="CBD5E1" w:sz="2" w:space="8"/>
        </w:pBdr>
        <w:spacing w:after="200" w:before="200"/>
      </w:pPr>
    </w:p>
    <w:p>
      <w:pPr>
        <w:pStyle w:val="Heading1"/>
      </w:pPr>
      <w:r>
        <w:rPr>
          <w:rFonts w:ascii="Arial" w:cs="Arial" w:eastAsia="Arial" w:hAnsi="Arial"/>
        </w:rPr>
        <w:t xml:space="preserve">3. Campaign Bucket Definitions</w:t>
      </w:r>
    </w:p>
    <w:p>
      <w:pPr>
        <w:spacing w:after="120"/>
      </w:pPr>
      <w:r>
        <w:rPr>
          <w:rFonts w:ascii="Arial" w:cs="Arial" w:eastAsia="Arial" w:hAnsi="Arial"/>
          <w:b w:val="false"/>
          <w:bCs w:val="false"/>
          <w:color w:val="475569"/>
          <w:sz w:val="22"/>
          <w:szCs w:val="22"/>
        </w:rPr>
        <w:t xml:space="preserve">Six campaign buckets cover the full visitor journey. Each bucket maps to a single Instantly campaign template that uses custom variables for personalization. Buckets are prioritized — a visitor is assigned to the highest-priority bucket that matches their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3600"/>
        <w:gridCol w:w="1200"/>
        <w:gridCol w:w="2160"/>
      </w:tblGrid>
      <w:tr>
        <w:tc>
          <w:tcPr>
            <w:tcW w:type="dxa" w:w="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Pri</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3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Trigger Criteria</w:t>
            </w:r>
          </w:p>
        </w:tc>
        <w:tc>
          <w:tcPr>
            <w:tcW w:type="dxa" w:w="1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Tier Min</w:t>
            </w:r>
          </w:p>
        </w:tc>
        <w:tc>
          <w:tcPr>
            <w:tcW w:type="dxa" w:w="2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Tone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C2626"/>
                <w:sz w:val="20"/>
                <w:szCs w:val="20"/>
              </w:rPr>
              <w:t xml:space="preserve">1</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Ready to Book</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Visited contact, scheduling, pricing, appointment, or consultation pages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Any</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Direct, remove friction</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97706"/>
                <w:sz w:val="20"/>
                <w:szCs w:val="20"/>
              </w:rPr>
              <w:t xml:space="preserve">2</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Provider Research</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Visited doctor/team bio pages, credentials, or reviews/testimonials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High+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Trust-building, credibility</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D97706"/>
                <w:sz w:val="20"/>
                <w:szCs w:val="20"/>
              </w:rPr>
              <w:t xml:space="preserve">3</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Procedure / Treatment</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Researched specific procedures (surgical, non-surgical, services)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High+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Educational, outcomes</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4</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Condition Research</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Researched conditions/problems (back pain, scoliosis, etc.)</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High+</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Empathetic, informative</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5</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Return Visitor</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Visited 2+ times with gap &gt; 7 days between sessions, no high-intent pages</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Medium+</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Re-engagement, new info</w:t>
            </w:r>
          </w:p>
        </w:tc>
      </w:tr>
      <w:tr>
        <w:tc>
          <w:tcPr>
            <w:tcW w:type="dxa" w:w="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6</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General Interest</w:t>
            </w:r>
          </w:p>
        </w:tc>
        <w:tc>
          <w:tcPr>
            <w:tcW w:type="dxa" w:w="3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Browsed broadly, no specific focus; or entered via lead magnet/content</w:t>
            </w:r>
          </w:p>
        </w:tc>
        <w:tc>
          <w:tcPr>
            <w:tcW w:type="dxa" w:w="1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Medium+</w:t>
            </w:r>
          </w:p>
        </w:tc>
        <w:tc>
          <w:tcPr>
            <w:tcW w:type="dxa" w:w="2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Soft intro, breadth</w:t>
            </w:r>
          </w:p>
        </w:tc>
      </w:tr>
    </w:tbl>
    <w:p>
      <w:pPr>
        <w:spacing w:after="120"/>
      </w:pPr>
      <w:r>
        <w:rPr>
          <w:rFonts w:ascii="Arial" w:cs="Arial" w:eastAsia="Arial" w:hAnsi="Arial"/>
          <w:b w:val="false"/>
          <w:bCs w:val="false"/>
          <w:color w:val="475569"/>
          <w:sz w:val="22"/>
          <w:szCs w:val="22"/>
        </w:rPr>
        <w:t xml:space="preserve"/>
      </w:r>
    </w:p>
    <w:p>
      <w:pPr>
        <w:spacing w:after="200"/>
      </w:pPr>
      <w:r>
        <w:rPr>
          <w:rFonts w:ascii="Arial" w:cs="Arial" w:eastAsia="Arial" w:hAnsi="Arial"/>
          <w:b w:val="false"/>
          <w:bCs w:val="false"/>
          <w:color w:val="475569"/>
          <w:sz w:val="22"/>
          <w:szCs w:val="22"/>
        </w:rPr>
        <w:t xml:space="preserve">Priority determines assignment: a visitor who viewed condition pages AND a contact page gets assigned to Bucket 1 (Ready to Book), not Bucket 4 (Condition Research). The primary_interest field still reflects their condition interest for variable personalization.</w:t>
      </w:r>
    </w:p>
    <w:p>
      <w:pPr>
        <w:pBdr>
          <w:bottom w:val="single" w:color="CBD5E1" w:sz="2" w:space="8"/>
        </w:pBdr>
        <w:spacing w:after="200" w:before="200"/>
      </w:pPr>
    </w:p>
    <w:p>
      <w:pPr>
        <w:pStyle w:val="Heading1"/>
      </w:pPr>
      <w:r>
        <w:rPr>
          <w:rFonts w:ascii="Arial" w:cs="Arial" w:eastAsia="Arial" w:hAnsi="Arial"/>
        </w:rPr>
        <w:t xml:space="preserve">4. Primary Interest Selection Logic</w:t>
      </w:r>
    </w:p>
    <w:p>
      <w:pPr>
        <w:spacing w:after="120"/>
      </w:pPr>
      <w:r>
        <w:rPr>
          <w:rFonts w:ascii="Arial" w:cs="Arial" w:eastAsia="Arial" w:hAnsi="Arial"/>
          <w:b w:val="false"/>
          <w:bCs w:val="false"/>
          <w:color w:val="475569"/>
          <w:sz w:val="22"/>
          <w:szCs w:val="22"/>
        </w:rPr>
        <w:t xml:space="preserve">Each visitor is assigned exactly one primary interest. This interest is used for email personalization (the {{interest}} variable) and determines which campaign bucket applies.</w:t>
      </w:r>
    </w:p>
    <w:p>
      <w:pPr>
        <w:pStyle w:val="Heading3"/>
      </w:pPr>
      <w:r>
        <w:rPr>
          <w:rFonts w:ascii="Arial" w:cs="Arial" w:eastAsia="Arial" w:hAnsi="Arial"/>
        </w:rPr>
        <w:t xml:space="preserve">Selection Algorithm</w:t>
      </w:r>
    </w:p>
    <w:p>
      <w:pPr>
        <w:pStyle w:val="ListParagraph"/>
        <w:numPr>
          <w:ilvl w:val="0"/>
          <w:numId w:val="3"/>
        </w:numPr>
        <w:spacing w:after="60"/>
      </w:pPr>
      <w:r>
        <w:rPr>
          <w:rFonts w:ascii="Arial" w:cs="Arial" w:eastAsia="Arial" w:hAnsi="Arial"/>
          <w:color w:val="475569"/>
          <w:sz w:val="22"/>
          <w:szCs w:val="22"/>
        </w:rPr>
        <w:t xml:space="preserve">Count page views per classified interest (subcategory level) from the visitor’s pages_visited array.</w:t>
      </w:r>
    </w:p>
    <w:p>
      <w:pPr>
        <w:pStyle w:val="ListParagraph"/>
        <w:numPr>
          <w:ilvl w:val="0"/>
          <w:numId w:val="3"/>
        </w:numPr>
        <w:spacing w:after="60"/>
      </w:pPr>
      <w:r>
        <w:rPr>
          <w:rFonts w:ascii="Arial" w:cs="Arial" w:eastAsia="Arial" w:hAnsi="Arial"/>
          <w:color w:val="475569"/>
          <w:sz w:val="22"/>
          <w:szCs w:val="22"/>
        </w:rPr>
        <w:t xml:space="preserve">Rank interests by page view count descending.</w:t>
      </w:r>
    </w:p>
    <w:p>
      <w:pPr>
        <w:pStyle w:val="ListParagraph"/>
        <w:numPr>
          <w:ilvl w:val="0"/>
          <w:numId w:val="3"/>
        </w:numPr>
        <w:spacing w:after="60"/>
      </w:pPr>
      <w:r>
        <w:rPr>
          <w:rFonts w:ascii="Arial" w:cs="Arial" w:eastAsia="Arial" w:hAnsi="Arial"/>
          <w:color w:val="475569"/>
          <w:sz w:val="22"/>
          <w:szCs w:val="22"/>
        </w:rPr>
        <w:t xml:space="preserve">Break ties by recency — the interest whose pages were viewed most recently wins.</w:t>
      </w:r>
    </w:p>
    <w:p>
      <w:pPr>
        <w:pStyle w:val="ListParagraph"/>
        <w:numPr>
          <w:ilvl w:val="0"/>
          <w:numId w:val="3"/>
        </w:numPr>
        <w:spacing w:after="60"/>
      </w:pPr>
      <w:r>
        <w:rPr>
          <w:rFonts w:ascii="Arial" w:cs="Arial" w:eastAsia="Arial" w:hAnsi="Arial"/>
          <w:color w:val="475569"/>
          <w:sz w:val="22"/>
          <w:szCs w:val="22"/>
        </w:rPr>
        <w:t xml:space="preserve">If no classified interests exist (all unclassified pages), primary_interest is set to the client’s {{practice_focus}} value (e.g., “spine care”, “cosmetic surgery”, “event planning”) and the visitor is assigned to the General Interest bucket. This ensures the email still feels relevant to the practice’s specialty rather than completely generic.</w:t>
      </w:r>
    </w:p>
    <w:p>
      <w:pPr>
        <w:pStyle w:val="Heading3"/>
      </w:pPr>
      <w:r>
        <w:rPr>
          <w:rFonts w:ascii="Arial" w:cs="Arial" w:eastAsia="Arial" w:hAnsi="Arial"/>
        </w:rPr>
        <w:t xml:space="preserve">Category-to-Bucket Mapping</w:t>
      </w:r>
    </w:p>
    <w:p>
      <w:pPr>
        <w:spacing w:after="120"/>
      </w:pPr>
      <w:r>
        <w:rPr>
          <w:rFonts w:ascii="Arial" w:cs="Arial" w:eastAsia="Arial" w:hAnsi="Arial"/>
          <w:b w:val="false"/>
          <w:bCs w:val="false"/>
          <w:color w:val="475569"/>
          <w:sz w:val="22"/>
          <w:szCs w:val="22"/>
        </w:rPr>
        <w:t xml:space="preserve">The taxonomy category of the primary interest determines the campaign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Taxonomy Category</w:t>
            </w:r>
          </w:p>
        </w:tc>
        <w:tc>
          <w:tcPr>
            <w:tcW w:type="dxa" w:w="468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Campaign Bucket</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High Intent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Ready to Book</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Provider Research</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Provider Research</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Surgical Procedures, Non-Surgical, Services, Facial/Body/Breast Procedures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Procedure / Treatment</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Conditions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Condition Research</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Product Features, Industries, Event Types, Venue Features</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Procedure / Treatment (vertical equivalent)</w:t>
            </w:r>
          </w:p>
        </w:tc>
      </w:tr>
      <w:tr>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Lead Magnet, Content</w:t>
            </w:r>
          </w:p>
        </w:tc>
        <w:tc>
          <w:tcPr>
            <w:tcW w:type="dxa" w:w="468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General Interest</w:t>
            </w:r>
          </w:p>
        </w:tc>
      </w:tr>
    </w:tbl>
    <w:p>
      <w:pPr>
        <w:spacing w:after="120"/>
      </w:pPr>
      <w:r>
        <w:rPr>
          <w:rFonts w:ascii="Arial" w:cs="Arial" w:eastAsia="Arial" w:hAnsi="Arial"/>
          <w:b w:val="false"/>
          <w:bCs w:val="false"/>
          <w:color w:val="475569"/>
          <w:sz w:val="22"/>
          <w:szCs w:val="22"/>
        </w:rPr>
        <w:t xml:space="preserve"/>
      </w:r>
    </w:p>
    <w:p>
      <w:pPr>
        <w:spacing w:after="120"/>
      </w:pPr>
      <w:r>
        <w:rPr>
          <w:rFonts w:ascii="Arial" w:cs="Arial" w:eastAsia="Arial" w:hAnsi="Arial"/>
          <w:b w:val="false"/>
          <w:bCs w:val="false"/>
          <w:color w:val="475569"/>
          <w:sz w:val="22"/>
          <w:szCs w:val="22"/>
        </w:rPr>
        <w:t xml:space="preserve">This mapping is vertical-agnostic. A “Surgical Procedures” subcategory for a spine surgeon and a “Breast Procedures” subcategory for a plastic surgeon both resolve to the same Procedure / Treatment bucket.</w:t>
      </w:r>
    </w:p>
    <w:p>
      <w:pPr>
        <w:pBdr>
          <w:bottom w:val="single" w:color="CBD5E1" w:sz="2" w:space="8"/>
        </w:pBdr>
        <w:spacing w:after="200" w:before="200"/>
      </w:pPr>
    </w:p>
    <w:p>
      <w:pPr>
        <w:pStyle w:val="Heading1"/>
      </w:pPr>
      <w:r>
        <w:rPr>
          <w:rFonts w:ascii="Arial" w:cs="Arial" w:eastAsia="Arial" w:hAnsi="Arial"/>
        </w:rPr>
        <w:t xml:space="preserve">5. Instantly.ai Integration</w:t>
      </w:r>
    </w:p>
    <w:p>
      <w:pPr>
        <w:pStyle w:val="Heading3"/>
      </w:pPr>
      <w:r>
        <w:rPr>
          <w:rFonts w:ascii="Arial" w:cs="Arial" w:eastAsia="Arial" w:hAnsi="Arial"/>
        </w:rPr>
        <w:t xml:space="preserve">API Endpoint</w:t>
      </w:r>
    </w:p>
    <w:p>
      <w:pPr>
        <w:spacing w:after="120"/>
      </w:pPr>
      <w:r>
        <w:rPr>
          <w:rFonts w:ascii="Arial" w:cs="Arial" w:eastAsia="Arial" w:hAnsi="Arial"/>
          <w:b w:val="false"/>
          <w:bCs w:val="false"/>
          <w:color w:val="475569"/>
          <w:sz w:val="22"/>
          <w:szCs w:val="22"/>
        </w:rPr>
        <w:t xml:space="preserve">Leads are pushed to Instantly via the V2 bulk add endpoint:</w:t>
      </w:r>
    </w:p>
    <w:p>
      <w:pPr>
        <w:spacing w:after="120"/>
      </w:pPr>
      <w:r>
        <w:rPr>
          <w:rFonts w:ascii="Arial" w:cs="Arial" w:eastAsia="Arial" w:hAnsi="Arial"/>
          <w:b/>
          <w:bCs/>
          <w:color w:val="475569"/>
          <w:sz w:val="22"/>
          <w:szCs w:val="22"/>
        </w:rPr>
        <w:t xml:space="preserve">POST https://api.instantly.ai/api/v2/leads/add</w:t>
      </w:r>
    </w:p>
    <w:p>
      <w:pPr>
        <w:spacing w:after="120"/>
      </w:pPr>
      <w:r>
        <w:rPr>
          <w:rFonts w:ascii="Arial" w:cs="Arial" w:eastAsia="Arial" w:hAnsi="Arial"/>
          <w:b w:val="false"/>
          <w:bCs w:val="false"/>
          <w:color w:val="475569"/>
          <w:sz w:val="22"/>
          <w:szCs w:val="22"/>
        </w:rPr>
        <w:t xml:space="preserve">Authorization: Bearer {INSTANTLY_API_KEY}</w:t>
      </w:r>
    </w:p>
    <w:p>
      <w:pPr>
        <w:spacing w:after="120"/>
      </w:pPr>
      <w:r>
        <w:rPr>
          <w:rFonts w:ascii="Arial" w:cs="Arial" w:eastAsia="Arial" w:hAnsi="Arial"/>
          <w:b w:val="false"/>
          <w:bCs w:val="false"/>
          <w:color w:val="475569"/>
          <w:sz w:val="22"/>
          <w:szCs w:val="22"/>
        </w:rPr>
        <w:t xml:space="preserve">Each request can contain up to 1,000 leads. The endpoint accepts a campaign_id and a leads array with custom variables per lead.</w:t>
      </w:r>
    </w:p>
    <w:p>
      <w:pPr>
        <w:pStyle w:val="Heading3"/>
      </w:pPr>
      <w:r>
        <w:rPr>
          <w:rFonts w:ascii="Arial" w:cs="Arial" w:eastAsia="Arial" w:hAnsi="Arial"/>
        </w:rPr>
        <w:t xml:space="preserve">Custom Variables Per Lead</w:t>
      </w:r>
    </w:p>
    <w:p>
      <w:pPr>
        <w:spacing w:after="120"/>
      </w:pPr>
      <w:r>
        <w:rPr>
          <w:rFonts w:ascii="Arial" w:cs="Arial" w:eastAsia="Arial" w:hAnsi="Arial"/>
          <w:b w:val="false"/>
          <w:bCs w:val="false"/>
          <w:color w:val="475569"/>
          <w:sz w:val="22"/>
          <w:szCs w:val="22"/>
        </w:rPr>
        <w:t xml:space="preserve">Every lead pushed to Instantly includes these custom variables for email template personalization: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0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39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{{first_name}}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Michael</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visitors.first_name</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{{interest}}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scoliosis treatment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Computed primary_interest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{{practice_name}}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 Spine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campaigns.practice_name variable config</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{{doctor_name}}</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Dr. Steven Cyr</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campaigns.variables JSON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{{booking_link}}</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https://saspine.com/appointment</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campaigns.variables JSON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{{testimonial}}</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“After my scoliosis surgery with Dr. Cyr, I’m pain-free for the first time in years.”</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campaigns.variables JSON (rotated per interest)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{{city}}</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San Antonio</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visitors.city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{{practice_focus}}</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spine care</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campaigns.variables JSON — used as fallback interest for General Interest bucket</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{{bucket}}</w:t>
            </w:r>
          </w:p>
        </w:tc>
        <w:tc>
          <w:tcPr>
            <w:tcW w:type="dxa" w:w="30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condition_research</w:t>
            </w:r>
          </w:p>
        </w:tc>
        <w:tc>
          <w:tcPr>
            <w:tcW w:type="dxa" w:w="39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Computed campaign_bucket</w:t>
            </w:r>
          </w:p>
        </w:tc>
      </w:tr>
    </w:tbl>
    <w:p>
      <w:pPr>
        <w:spacing w:after="120"/>
      </w:pPr>
      <w:r>
        <w:rPr>
          <w:rFonts w:ascii="Arial" w:cs="Arial" w:eastAsia="Arial" w:hAnsi="Arial"/>
          <w:b w:val="false"/>
          <w:bCs w:val="false"/>
          <w:color w:val="475569"/>
          <w:sz w:val="22"/>
          <w:szCs w:val="22"/>
        </w:rPr>
        <w:t xml:space="preserve"/>
      </w:r>
    </w:p>
    <w:p>
      <w:pPr>
        <w:spacing w:after="120"/>
      </w:pPr>
      <w:r>
        <w:rPr>
          <w:rFonts w:ascii="Arial" w:cs="Arial" w:eastAsia="Arial" w:hAnsi="Arial"/>
          <w:b w:val="false"/>
          <w:bCs w:val="false"/>
          <w:color w:val="475569"/>
          <w:sz w:val="22"/>
          <w:szCs w:val="22"/>
        </w:rPr>
        <w:t xml:space="preserve">Because every lead carries unique variable values, emails in the same Instantly campaign produce distinct content. This dramatically reduces spam filter risk compared to identical bulk sends.</w:t>
      </w:r>
    </w:p>
    <w:p>
      <w:pPr>
        <w:pStyle w:val="Heading3"/>
      </w:pPr>
      <w:r>
        <w:rPr>
          <w:rFonts w:ascii="Arial" w:cs="Arial" w:eastAsia="Arial" w:hAnsi="Arial"/>
        </w:rPr>
        <w:t xml:space="preserve">Instantly Campaign Setup (Per Client)</w:t>
      </w:r>
    </w:p>
    <w:p>
      <w:pPr>
        <w:spacing w:after="120"/>
      </w:pPr>
      <w:r>
        <w:rPr>
          <w:rFonts w:ascii="Arial" w:cs="Arial" w:eastAsia="Arial" w:hAnsi="Arial"/>
          <w:b w:val="false"/>
          <w:bCs w:val="false"/>
          <w:color w:val="475569"/>
          <w:sz w:val="22"/>
          <w:szCs w:val="22"/>
        </w:rPr>
        <w:t xml:space="preserve">Each client needs up to 6 campaigns pre-built in Instantly (one per bucket). The 3-email sequence within each campaign uses the custom variables above. Example for a Condition Research campaign:</w:t>
      </w:r>
    </w:p>
    <w:p>
      <w:pPr>
        <w:pStyle w:val="ListParagraph"/>
        <w:numPr>
          <w:ilvl w:val="0"/>
          <w:numId w:val="2"/>
        </w:numPr>
        <w:spacing w:after="60"/>
      </w:pPr>
      <w:r>
        <w:rPr>
          <w:rFonts w:ascii="Arial" w:cs="Arial" w:eastAsia="Arial" w:hAnsi="Arial"/>
          <w:color w:val="475569"/>
          <w:sz w:val="22"/>
          <w:szCs w:val="22"/>
        </w:rPr>
        <w:t xml:space="preserve">Email 1 (Day 0): “Understanding your {{interest}} options” — educational, empathetic, introduces the practice</w:t>
      </w:r>
    </w:p>
    <w:p>
      <w:pPr>
        <w:pStyle w:val="ListParagraph"/>
        <w:numPr>
          <w:ilvl w:val="0"/>
          <w:numId w:val="2"/>
        </w:numPr>
        <w:spacing w:after="60"/>
      </w:pPr>
      <w:r>
        <w:rPr>
          <w:rFonts w:ascii="Arial" w:cs="Arial" w:eastAsia="Arial" w:hAnsi="Arial"/>
          <w:color w:val="475569"/>
          <w:sz w:val="22"/>
          <w:szCs w:val="22"/>
        </w:rPr>
        <w:t xml:space="preserve">Email 2 (Day 3): “What {{practice_name}} patients say about {{interest}} treatment” — testimonial, social proof</w:t>
      </w:r>
    </w:p>
    <w:p>
      <w:pPr>
        <w:pStyle w:val="ListParagraph"/>
        <w:numPr>
          <w:ilvl w:val="0"/>
          <w:numId w:val="2"/>
        </w:numPr>
        <w:spacing w:after="60"/>
      </w:pPr>
      <w:r>
        <w:rPr>
          <w:rFonts w:ascii="Arial" w:cs="Arial" w:eastAsia="Arial" w:hAnsi="Arial"/>
          <w:color w:val="475569"/>
          <w:sz w:val="22"/>
          <w:szCs w:val="22"/>
        </w:rPr>
        <w:t xml:space="preserve">Email 3 (Day 7): “Ready to explore {{interest}} treatment?” — CTA to book, includes {{booking_link}}</w:t>
      </w:r>
    </w:p>
    <w:p>
      <w:pPr>
        <w:spacing w:after="120"/>
      </w:pPr>
      <w:r>
        <w:rPr>
          <w:rFonts w:ascii="Arial" w:cs="Arial" w:eastAsia="Arial" w:hAnsi="Arial"/>
          <w:b w:val="false"/>
          <w:bCs w:val="false"/>
          <w:color w:val="475569"/>
          <w:sz w:val="22"/>
          <w:szCs w:val="22"/>
        </w:rPr>
        <w:t xml:space="preserve">Email copy and send timing are managed entirely within Instantly. Our system only pushes qualified leads with variables.</w:t>
      </w:r>
    </w:p>
    <w:p>
      <w:pPr>
        <w:pBdr>
          <w:bottom w:val="single" w:color="CBD5E1" w:sz="2" w:space="8"/>
        </w:pBdr>
        <w:spacing w:after="200" w:before="200"/>
      </w:pPr>
    </w:p>
    <w:p>
      <w:pPr>
        <w:pStyle w:val="Heading1"/>
      </w:pPr>
      <w:r>
        <w:rPr>
          <w:rFonts w:ascii="Arial" w:cs="Arial" w:eastAsia="Arial" w:hAnsi="Arial"/>
        </w:rPr>
        <w:t xml:space="preserve">6. Database Schema Additions</w:t>
      </w:r>
    </w:p>
    <w:p>
      <w:pPr>
        <w:pStyle w:val="Heading3"/>
      </w:pPr>
      <w:r>
        <w:rPr>
          <w:rFonts w:ascii="Arial" w:cs="Arial" w:eastAsia="Arial" w:hAnsi="Arial"/>
        </w:rPr>
        <w:t xml:space="preserve">New Table: campaigns</w:t>
      </w:r>
    </w:p>
    <w:p>
      <w:pPr>
        <w:spacing w:after="120"/>
      </w:pPr>
      <w:r>
        <w:rPr>
          <w:rFonts w:ascii="Arial" w:cs="Arial" w:eastAsia="Arial" w:hAnsi="Arial"/>
          <w:b w:val="false"/>
          <w:bCs w:val="false"/>
          <w:color w:val="475569"/>
          <w:sz w:val="22"/>
          <w:szCs w:val="22"/>
        </w:rPr>
        <w:t xml:space="preserve">Stores campaign configuration per client per bucket.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SERIAL PK</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Auto-increment primary key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client_key</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FK to client (e.g., “sa-spine”)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bucket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Campaign bucket: ready_to_book, provider_research, procedure_treatment, condition_research, return_visitor, general_interest</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instantly_campaign_id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Instantly campaign UUID from their dashboard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confidence_min</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INT DEFAULT 40</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Minimum confidence score required (40 = Medium+, 70 = High only)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min_tier</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 DEFAULT ‘High’</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Minimum intent tier required: HOT, High, Medium, or Low</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active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BOOLEAN DEFAULT false</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Kill switch — paused campaigns are skipped by the push cron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variables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JSONB</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Client-specific template variables: practice_name, practice_focus, doctor_name, booking_link, testimonials (keyed by interest), phone, address</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created_at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TIMESTAMPTZ</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Record creation timestamp</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updated_at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TIMESTAMPTZ</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Auto-updated via trigger</w:t>
            </w:r>
          </w:p>
        </w:tc>
      </w:tr>
    </w:tbl>
    <w:p>
      <w:pPr>
        <w:spacing w:after="120"/>
      </w:pPr>
      <w:r>
        <w:rPr>
          <w:rFonts w:ascii="Arial" w:cs="Arial" w:eastAsia="Arial" w:hAnsi="Arial"/>
          <w:b w:val="false"/>
          <w:bCs w:val="false"/>
          <w:color w:val="475569"/>
          <w:sz w:val="22"/>
          <w:szCs w:val="22"/>
        </w:rPr>
        <w:t xml:space="preserve"/>
      </w:r>
    </w:p>
    <w:p>
      <w:pPr>
        <w:pStyle w:val="Heading3"/>
      </w:pPr>
      <w:r>
        <w:rPr>
          <w:rFonts w:ascii="Arial" w:cs="Arial" w:eastAsia="Arial" w:hAnsi="Arial"/>
        </w:rPr>
        <w:t xml:space="preserve">New Table: email_enrollments</w:t>
      </w:r>
    </w:p>
    <w:p>
      <w:pPr>
        <w:spacing w:after="120"/>
      </w:pPr>
      <w:r>
        <w:rPr>
          <w:rFonts w:ascii="Arial" w:cs="Arial" w:eastAsia="Arial" w:hAnsi="Arial"/>
          <w:b w:val="false"/>
          <w:bCs w:val="false"/>
          <w:color w:val="475569"/>
          <w:sz w:val="22"/>
          <w:szCs w:val="22"/>
        </w:rPr>
        <w:t xml:space="preserve">Deduplication and audit log. Tracks every lead push to Instantly.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SERIAL PK</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Auto-increment primary key</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visitor_id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FK to visitors.id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campaign_id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FK to campaigns.id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instantly_lead_id</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Lead ID returned by Instantly API</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bucket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Bucket at time of enrollment (for historical reference)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primary_interest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Interest sent as variable (for historical reference)</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variables_sent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JSONB</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Full variable payload sent to Instantly (audit trail)</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enrolled_at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TIMESTAMPTZ</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When the lead was pushed</w:t>
            </w:r>
          </w:p>
        </w:tc>
      </w:tr>
      <w:tr>
        <w:tc>
          <w:tcPr>
            <w:tcW w:type="dxa" w:w="2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status</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 DEFAULT ‘sent’</w:t>
            </w:r>
          </w:p>
        </w:tc>
        <w:tc>
          <w:tcPr>
            <w:tcW w:type="dxa" w:w="55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sent, failed, bounced (updated via webhook if available)</w:t>
            </w:r>
          </w:p>
        </w:tc>
      </w:tr>
    </w:tbl>
    <w:p>
      <w:pPr>
        <w:spacing w:after="120"/>
      </w:pPr>
      <w:r>
        <w:rPr>
          <w:rFonts w:ascii="Arial" w:cs="Arial" w:eastAsia="Arial" w:hAnsi="Arial"/>
          <w:b w:val="false"/>
          <w:bCs w:val="false"/>
          <w:color w:val="475569"/>
          <w:sz w:val="22"/>
          <w:szCs w:val="22"/>
        </w:rPr>
        <w:t xml:space="preserve"/>
      </w:r>
    </w:p>
    <w:p>
      <w:pPr>
        <w:pStyle w:val="Heading3"/>
      </w:pPr>
      <w:r>
        <w:rPr>
          <w:rFonts w:ascii="Arial" w:cs="Arial" w:eastAsia="Arial" w:hAnsi="Arial"/>
        </w:rPr>
        <w:t xml:space="preserve">Modified Table: visitors (new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6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primary_interest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Computed during processing: the single most relevant interest subcategory</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campaign_bucket</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TEXT</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Computed during processing: which of the 6 buckets this visitor belongs to</w:t>
            </w:r>
          </w:p>
        </w:tc>
      </w:tr>
      <w:tr>
        <w:tc>
          <w:tcPr>
            <w:tcW w:type="dxa" w:w="2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email_eligible</w:t>
            </w:r>
          </w:p>
        </w:tc>
        <w:tc>
          <w:tcPr>
            <w:tcW w:type="dxa" w:w="16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BOOLEAN DEFAULT false</w:t>
            </w:r>
          </w:p>
        </w:tc>
        <w:tc>
          <w:tcPr>
            <w:tcW w:type="dxa" w:w="53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True if visitor has email + meets minimum confidence + has campaign_bucket</w:t>
            </w:r>
          </w:p>
        </w:tc>
      </w:tr>
    </w:tbl>
    <w:p>
      <w:pPr>
        <w:spacing w:after="120"/>
      </w:pPr>
      <w:r>
        <w:rPr>
          <w:rFonts w:ascii="Arial" w:cs="Arial" w:eastAsia="Arial" w:hAnsi="Arial"/>
          <w:b w:val="false"/>
          <w:bCs w:val="false"/>
          <w:color w:val="475569"/>
          <w:sz w:val="22"/>
          <w:szCs w:val="22"/>
        </w:rPr>
        <w:t xml:space="preserve"/>
      </w:r>
    </w:p>
    <w:p>
      <w:pPr>
        <w:spacing w:after="120"/>
      </w:pPr>
      <w:r>
        <w:rPr>
          <w:rFonts w:ascii="Arial" w:cs="Arial" w:eastAsia="Arial" w:hAnsi="Arial"/>
          <w:b w:val="false"/>
          <w:bCs w:val="false"/>
          <w:color w:val="475569"/>
          <w:sz w:val="22"/>
          <w:szCs w:val="22"/>
        </w:rPr>
        <w:t xml:space="preserve">UNIQUE constraint on email_enrollments(visitor_id, campaign_id) prevents duplicate enrollments. A visitor can appear in multiple buckets over time if they return with new behavior, but never in the same campaign twice.</w:t>
      </w:r>
    </w:p>
    <w:p>
      <w:pPr>
        <w:pBdr>
          <w:bottom w:val="single" w:color="CBD5E1" w:sz="2" w:space="8"/>
        </w:pBdr>
        <w:spacing w:after="200" w:before="200"/>
      </w:pPr>
    </w:p>
    <w:p>
      <w:pPr>
        <w:pStyle w:val="Heading1"/>
      </w:pPr>
      <w:r>
        <w:rPr>
          <w:rFonts w:ascii="Arial" w:cs="Arial" w:eastAsia="Arial" w:hAnsi="Arial"/>
        </w:rPr>
        <w:t xml:space="preserve">7. Cron Pipeline Flow</w:t>
      </w:r>
    </w:p>
    <w:p>
      <w:pPr>
        <w:pStyle w:val="Heading3"/>
      </w:pPr>
      <w:r>
        <w:rPr>
          <w:rFonts w:ascii="Arial" w:cs="Arial" w:eastAsia="Arial" w:hAnsi="Arial"/>
        </w:rPr>
        <w:t xml:space="preserve">Existing Cron: process-visitors (modified)</w:t>
      </w:r>
    </w:p>
    <w:p>
      <w:pPr>
        <w:spacing w:after="120"/>
      </w:pPr>
      <w:r>
        <w:rPr>
          <w:rFonts w:ascii="Arial" w:cs="Arial" w:eastAsia="Arial" w:hAnsi="Arial"/>
          <w:b w:val="false"/>
          <w:bCs w:val="false"/>
          <w:color w:val="475569"/>
          <w:sz w:val="22"/>
          <w:szCs w:val="22"/>
        </w:rPr>
        <w:t xml:space="preserve">The daily processing cron at /api/cron/process-visitors gains two additional steps after scoring:</w:t>
      </w:r>
    </w:p>
    <w:p>
      <w:pPr>
        <w:pStyle w:val="ListParagraph"/>
        <w:numPr>
          <w:ilvl w:val="0"/>
          <w:numId w:val="3"/>
        </w:numPr>
        <w:spacing w:after="60"/>
      </w:pPr>
      <w:r>
        <w:rPr>
          <w:rFonts w:ascii="Arial" w:cs="Arial" w:eastAsia="Arial" w:hAnsi="Arial"/>
          <w:color w:val="475569"/>
          <w:sz w:val="22"/>
          <w:szCs w:val="22"/>
        </w:rPr>
        <w:t xml:space="preserve">Compute primary_interest from classified page views (count by subcategory, break ties by recency).</w:t>
      </w:r>
    </w:p>
    <w:p>
      <w:pPr>
        <w:pStyle w:val="ListParagraph"/>
        <w:numPr>
          <w:ilvl w:val="0"/>
          <w:numId w:val="3"/>
        </w:numPr>
        <w:spacing w:after="60"/>
      </w:pPr>
      <w:r>
        <w:rPr>
          <w:rFonts w:ascii="Arial" w:cs="Arial" w:eastAsia="Arial" w:hAnsi="Arial"/>
          <w:color w:val="475569"/>
          <w:sz w:val="22"/>
          <w:szCs w:val="22"/>
        </w:rPr>
        <w:t xml:space="preserve">Determine campaign_bucket from the highest-priority matching bucket based on page categories.</w:t>
      </w:r>
    </w:p>
    <w:p>
      <w:pPr>
        <w:pStyle w:val="ListParagraph"/>
        <w:numPr>
          <w:ilvl w:val="0"/>
          <w:numId w:val="3"/>
        </w:numPr>
        <w:spacing w:after="60"/>
      </w:pPr>
      <w:r>
        <w:rPr>
          <w:rFonts w:ascii="Arial" w:cs="Arial" w:eastAsia="Arial" w:hAnsi="Arial"/>
          <w:color w:val="475569"/>
          <w:sz w:val="22"/>
          <w:szCs w:val="22"/>
        </w:rPr>
        <w:t xml:space="preserve">Set email_eligible = true if the visitor has an email address, meets minimum confidence (&gt;= 40), and has a non-null campaign_bucket.</w:t>
      </w:r>
    </w:p>
    <w:p>
      <w:pPr>
        <w:spacing w:after="120"/>
      </w:pPr>
      <w:r>
        <w:rPr>
          <w:rFonts w:ascii="Arial" w:cs="Arial" w:eastAsia="Arial" w:hAnsi="Arial"/>
          <w:b w:val="false"/>
          <w:bCs w:val="false"/>
          <w:color w:val="475569"/>
          <w:sz w:val="22"/>
          <w:szCs w:val="22"/>
        </w:rPr>
        <w:t xml:space="preserve">These fields are written to the visitors table alongside existing score/tier/confidence fields.</w:t>
      </w:r>
    </w:p>
    <w:p>
      <w:pPr>
        <w:pStyle w:val="Heading3"/>
      </w:pPr>
      <w:r>
        <w:rPr>
          <w:rFonts w:ascii="Arial" w:cs="Arial" w:eastAsia="Arial" w:hAnsi="Arial"/>
        </w:rPr>
        <w:t xml:space="preserve">New Cron: push-instantly</w:t>
      </w:r>
    </w:p>
    <w:p>
      <w:pPr>
        <w:spacing w:after="120"/>
      </w:pPr>
      <w:r>
        <w:rPr>
          <w:rFonts w:ascii="Arial" w:cs="Arial" w:eastAsia="Arial" w:hAnsi="Arial"/>
          <w:b w:val="false"/>
          <w:bCs w:val="false"/>
          <w:color w:val="475569"/>
          <w:sz w:val="22"/>
          <w:szCs w:val="22"/>
        </w:rPr>
        <w:t xml:space="preserve">A new cron job at /api/cron/push-instantly runs daily at 12:00 UTC (7 AM CT / 8 AM ET). It executes the following pipeline:</w:t>
      </w:r>
    </w:p>
    <w:p>
      <w:pPr>
        <w:pStyle w:val="ListParagraph"/>
        <w:numPr>
          <w:ilvl w:val="0"/>
          <w:numId w:val="3"/>
        </w:numPr>
        <w:spacing w:after="60"/>
      </w:pPr>
      <w:r>
        <w:rPr>
          <w:rFonts w:ascii="Arial" w:cs="Arial" w:eastAsia="Arial" w:hAnsi="Arial"/>
          <w:color w:val="475569"/>
          <w:sz w:val="22"/>
          <w:szCs w:val="22"/>
        </w:rPr>
        <w:t xml:space="preserve">Query all visitors where email_eligible = true AND id NOT IN (SELECT visitor_id FROM email_enrollments).</w:t>
      </w:r>
    </w:p>
    <w:p>
      <w:pPr>
        <w:pStyle w:val="ListParagraph"/>
        <w:numPr>
          <w:ilvl w:val="0"/>
          <w:numId w:val="3"/>
        </w:numPr>
        <w:spacing w:after="60"/>
      </w:pPr>
      <w:r>
        <w:rPr>
          <w:rFonts w:ascii="Arial" w:cs="Arial" w:eastAsia="Arial" w:hAnsi="Arial"/>
          <w:color w:val="475569"/>
          <w:sz w:val="22"/>
          <w:szCs w:val="22"/>
        </w:rPr>
        <w:t xml:space="preserve">For each visitor, look up the active campaign matching their client_key and campaign_bucket.</w:t>
      </w:r>
    </w:p>
    <w:p>
      <w:pPr>
        <w:pStyle w:val="ListParagraph"/>
        <w:numPr>
          <w:ilvl w:val="0"/>
          <w:numId w:val="3"/>
        </w:numPr>
        <w:spacing w:after="60"/>
      </w:pPr>
      <w:r>
        <w:rPr>
          <w:rFonts w:ascii="Arial" w:cs="Arial" w:eastAsia="Arial" w:hAnsi="Arial"/>
          <w:color w:val="475569"/>
          <w:sz w:val="22"/>
          <w:szCs w:val="22"/>
        </w:rPr>
        <w:t xml:space="preserve">If no active campaign exists for that bucket, skip (no fallback — unenrolled visitors are logged for reporting).</w:t>
      </w:r>
    </w:p>
    <w:p>
      <w:pPr>
        <w:pStyle w:val="ListParagraph"/>
        <w:numPr>
          <w:ilvl w:val="0"/>
          <w:numId w:val="3"/>
        </w:numPr>
        <w:spacing w:after="60"/>
      </w:pPr>
      <w:r>
        <w:rPr>
          <w:rFonts w:ascii="Arial" w:cs="Arial" w:eastAsia="Arial" w:hAnsi="Arial"/>
          <w:color w:val="475569"/>
          <w:sz w:val="22"/>
          <w:szCs w:val="22"/>
        </w:rPr>
        <w:t xml:space="preserve">Check that the visitor meets the campaign’s confidence_min and min_tier thresholds.</w:t>
      </w:r>
    </w:p>
    <w:p>
      <w:pPr>
        <w:pStyle w:val="ListParagraph"/>
        <w:numPr>
          <w:ilvl w:val="0"/>
          <w:numId w:val="3"/>
        </w:numPr>
        <w:spacing w:after="60"/>
      </w:pPr>
      <w:r>
        <w:rPr>
          <w:rFonts w:ascii="Arial" w:cs="Arial" w:eastAsia="Arial" w:hAnsi="Arial"/>
          <w:color w:val="475569"/>
          <w:sz w:val="22"/>
          <w:szCs w:val="22"/>
        </w:rPr>
        <w:t xml:space="preserve">Build the Instantly lead payload with custom variables merged from campaign.variables and visitor fields.</w:t>
      </w:r>
    </w:p>
    <w:p>
      <w:pPr>
        <w:pStyle w:val="ListParagraph"/>
        <w:numPr>
          <w:ilvl w:val="0"/>
          <w:numId w:val="3"/>
        </w:numPr>
        <w:spacing w:after="60"/>
      </w:pPr>
      <w:r>
        <w:rPr>
          <w:rFonts w:ascii="Arial" w:cs="Arial" w:eastAsia="Arial" w:hAnsi="Arial"/>
          <w:color w:val="475569"/>
          <w:sz w:val="22"/>
          <w:szCs w:val="22"/>
        </w:rPr>
        <w:t xml:space="preserve">Batch leads by campaign_id (up to 1,000 per Instantly API call) and push via POST /api/v2/leads/add.</w:t>
      </w:r>
    </w:p>
    <w:p>
      <w:pPr>
        <w:pStyle w:val="ListParagraph"/>
        <w:numPr>
          <w:ilvl w:val="0"/>
          <w:numId w:val="3"/>
        </w:numPr>
        <w:spacing w:after="60"/>
      </w:pPr>
      <w:r>
        <w:rPr>
          <w:rFonts w:ascii="Arial" w:cs="Arial" w:eastAsia="Arial" w:hAnsi="Arial"/>
          <w:color w:val="475569"/>
          <w:sz w:val="22"/>
          <w:szCs w:val="22"/>
        </w:rPr>
        <w:t xml:space="preserve">Log each enrollment in email_enrollments with the full variable payload for auditing.</w:t>
      </w:r>
    </w:p>
    <w:p>
      <w:pPr>
        <w:pStyle w:val="ListParagraph"/>
        <w:numPr>
          <w:ilvl w:val="0"/>
          <w:numId w:val="3"/>
        </w:numPr>
        <w:spacing w:after="60"/>
      </w:pPr>
      <w:r>
        <w:rPr>
          <w:rFonts w:ascii="Arial" w:cs="Arial" w:eastAsia="Arial" w:hAnsi="Arial"/>
          <w:color w:val="475569"/>
          <w:sz w:val="22"/>
          <w:szCs w:val="22"/>
        </w:rPr>
        <w:t xml:space="preserve">Record the run in processing_runs with type ‘push-instantly’, counts of pushed/skipped/failed.</w:t>
      </w:r>
    </w:p>
    <w:p>
      <w:pPr>
        <w:pStyle w:val="Heading3"/>
      </w:pPr>
      <w:r>
        <w:rPr>
          <w:rFonts w:ascii="Arial" w:cs="Arial" w:eastAsia="Arial" w:hAnsi="Arial"/>
        </w:rPr>
        <w:t xml:space="preserve">Skipped Visitor Tracking</w:t>
      </w:r>
    </w:p>
    <w:p>
      <w:pPr>
        <w:spacing w:after="120"/>
      </w:pPr>
      <w:r>
        <w:rPr>
          <w:rFonts w:ascii="Arial" w:cs="Arial" w:eastAsia="Arial" w:hAnsi="Arial"/>
          <w:b w:val="false"/>
          <w:bCs w:val="false"/>
          <w:color w:val="475569"/>
          <w:sz w:val="22"/>
          <w:szCs w:val="22"/>
        </w:rPr>
        <w:t xml:space="preserve">Visitors who are email_eligible but skipped (no active campaign, below threshold, missing email) are NOT enrolled but ARE tracked. A skipped_reason field in the processing log captures why, enabling reporting on missed opportunities:</w:t>
      </w:r>
    </w:p>
    <w:p>
      <w:pPr>
        <w:pStyle w:val="ListParagraph"/>
        <w:numPr>
          <w:ilvl w:val="0"/>
          <w:numId w:val="2"/>
        </w:numPr>
        <w:spacing w:after="60"/>
      </w:pPr>
      <w:r>
        <w:rPr>
          <w:rFonts w:ascii="Arial" w:cs="Arial" w:eastAsia="Arial" w:hAnsi="Arial"/>
          <w:color w:val="475569"/>
          <w:sz w:val="22"/>
          <w:szCs w:val="22"/>
        </w:rPr>
        <w:t xml:space="preserve">no_active_campaign — campaign for this bucket is paused or doesn’t exist yet</w:t>
      </w:r>
    </w:p>
    <w:p>
      <w:pPr>
        <w:pStyle w:val="ListParagraph"/>
        <w:numPr>
          <w:ilvl w:val="0"/>
          <w:numId w:val="2"/>
        </w:numPr>
        <w:spacing w:after="60"/>
      </w:pPr>
      <w:r>
        <w:rPr>
          <w:rFonts w:ascii="Arial" w:cs="Arial" w:eastAsia="Arial" w:hAnsi="Arial"/>
          <w:color w:val="475569"/>
          <w:sz w:val="22"/>
          <w:szCs w:val="22"/>
        </w:rPr>
        <w:t xml:space="preserve">below_confidence — visitor’s confidence score is below the campaign’s minimum</w:t>
      </w:r>
    </w:p>
    <w:p>
      <w:pPr>
        <w:pStyle w:val="ListParagraph"/>
        <w:numPr>
          <w:ilvl w:val="0"/>
          <w:numId w:val="2"/>
        </w:numPr>
        <w:spacing w:after="60"/>
      </w:pPr>
      <w:r>
        <w:rPr>
          <w:rFonts w:ascii="Arial" w:cs="Arial" w:eastAsia="Arial" w:hAnsi="Arial"/>
          <w:color w:val="475569"/>
          <w:sz w:val="22"/>
          <w:szCs w:val="22"/>
        </w:rPr>
        <w:t xml:space="preserve">below_tier — visitor’s intent tier doesn’t meet the campaign’s minimum</w:t>
      </w:r>
    </w:p>
    <w:p>
      <w:pPr>
        <w:pStyle w:val="ListParagraph"/>
        <w:numPr>
          <w:ilvl w:val="0"/>
          <w:numId w:val="2"/>
        </w:numPr>
        <w:spacing w:after="60"/>
      </w:pPr>
      <w:r>
        <w:rPr>
          <w:rFonts w:ascii="Arial" w:cs="Arial" w:eastAsia="Arial" w:hAnsi="Arial"/>
          <w:color w:val="475569"/>
          <w:sz w:val="22"/>
          <w:szCs w:val="22"/>
        </w:rPr>
        <w:t xml:space="preserve">no_email — pixel resolution didn’t capture an email address</w:t>
      </w:r>
    </w:p>
    <w:p>
      <w:pPr>
        <w:pBdr>
          <w:bottom w:val="single" w:color="CBD5E1" w:sz="2" w:space="8"/>
        </w:pBdr>
        <w:spacing w:after="200" w:before="200"/>
      </w:pPr>
    </w:p>
    <w:p>
      <w:pPr>
        <w:pStyle w:val="Heading1"/>
      </w:pPr>
      <w:r>
        <w:rPr>
          <w:rFonts w:ascii="Arial" w:cs="Arial" w:eastAsia="Arial" w:hAnsi="Arial"/>
        </w:rPr>
        <w:t xml:space="preserve">8. Admin API Endpoints</w:t>
      </w:r>
    </w:p>
    <w:p>
      <w:pPr>
        <w:spacing w:after="120"/>
      </w:pPr>
      <w:r>
        <w:rPr>
          <w:rFonts w:ascii="Arial" w:cs="Arial" w:eastAsia="Arial" w:hAnsi="Arial"/>
          <w:b w:val="false"/>
          <w:bCs w:val="false"/>
          <w:color w:val="475569"/>
          <w:sz w:val="22"/>
          <w:szCs w:val="22"/>
        </w:rPr>
        <w:t xml:space="preserve">All endpoints require Authorization: Bearer {DASH_PW_ADMIN} header.</w:t>
      </w:r>
    </w:p>
    <w:p>
      <w:pPr>
        <w:pStyle w:val="Heading3"/>
      </w:pPr>
      <w:r>
        <w:rPr>
          <w:rFonts w:ascii="Arial" w:cs="Arial" w:eastAsia="Arial" w:hAnsi="Arial"/>
        </w:rPr>
        <w:t xml:space="preserve">Campaign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c>
          <w:tcPr>
            <w:tcW w:type="dxa" w:w="14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7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/api/admin/campaigns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List all campaigns (optionally filter by client_key)</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POST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/api/admin/campaigns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Create or update a campaign (upsert by client_key + bucket)</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PATCH</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/api/admin/campaigns/[id]</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Update specific fields (e.g., toggle active, change thresholds)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/api/admin/campaigns/[id]/enrollments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List all enrollments for a campaign with visitor details</w:t>
            </w:r>
          </w:p>
        </w:tc>
      </w:tr>
      <w:tr>
        <w:tc>
          <w:tcPr>
            <w:tcW w:type="dxa" w:w="14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GET</w:t>
            </w:r>
          </w:p>
        </w:tc>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/api/admin/campaigns/stats</w:t>
            </w:r>
          </w:p>
        </w:tc>
        <w:tc>
          <w:tcPr>
            <w:tcW w:type="dxa" w:w="47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Dashboard stats: enrolled, skipped, by bucket, by client</w:t>
            </w:r>
          </w:p>
        </w:tc>
      </w:tr>
    </w:tbl>
    <w:p>
      <w:pPr>
        <w:pBdr>
          <w:bottom w:val="single" w:color="CBD5E1" w:sz="2" w:space="8"/>
        </w:pBdr>
        <w:spacing w:after="200" w:before="200"/>
      </w:pPr>
    </w:p>
    <w:p>
      <w:pPr>
        <w:pStyle w:val="Heading1"/>
      </w:pPr>
      <w:r>
        <w:rPr>
          <w:rFonts w:ascii="Arial" w:cs="Arial" w:eastAsia="Arial" w:hAnsi="Arial"/>
        </w:rPr>
        <w:t xml:space="preserve">9. Scaling to New Clients</w:t>
      </w:r>
    </w:p>
    <w:p>
      <w:pPr>
        <w:spacing w:after="120"/>
      </w:pPr>
      <w:r>
        <w:rPr>
          <w:rFonts w:ascii="Arial" w:cs="Arial" w:eastAsia="Arial" w:hAnsi="Arial"/>
          <w:b w:val="false"/>
          <w:bCs w:val="false"/>
          <w:color w:val="475569"/>
          <w:sz w:val="22"/>
          <w:szCs w:val="22"/>
        </w:rPr>
        <w:t xml:space="preserve">Onboarding a new client for intent-based email requires four steps, none of which involve code changes:</w:t>
      </w:r>
    </w:p>
    <w:p>
      <w:pPr>
        <w:pStyle w:val="ListParagraph"/>
        <w:numPr>
          <w:ilvl w:val="0"/>
          <w:numId w:val="3"/>
        </w:numPr>
        <w:spacing w:after="60"/>
      </w:pPr>
      <w:r>
        <w:rPr>
          <w:rFonts w:ascii="Arial" w:cs="Arial" w:eastAsia="Arial" w:hAnsi="Arial"/>
          <w:color w:val="475569"/>
          <w:sz w:val="22"/>
          <w:szCs w:val="22"/>
        </w:rPr>
        <w:t xml:space="preserve">Add the client’s taxonomy rules to lib/taxonomies.js (already required for VisitorID dashboard).</w:t>
      </w:r>
    </w:p>
    <w:p>
      <w:pPr>
        <w:pStyle w:val="ListParagraph"/>
        <w:numPr>
          <w:ilvl w:val="0"/>
          <w:numId w:val="3"/>
        </w:numPr>
        <w:spacing w:after="60"/>
      </w:pPr>
      <w:r>
        <w:rPr>
          <w:rFonts w:ascii="Arial" w:cs="Arial" w:eastAsia="Arial" w:hAnsi="Arial"/>
          <w:color w:val="475569"/>
          <w:sz w:val="22"/>
          <w:szCs w:val="22"/>
        </w:rPr>
        <w:t xml:space="preserve">Create 6 campaigns in Instantly with 3-email sequences using {{variable}} placeholders.</w:t>
      </w:r>
    </w:p>
    <w:p>
      <w:pPr>
        <w:pStyle w:val="ListParagraph"/>
        <w:numPr>
          <w:ilvl w:val="0"/>
          <w:numId w:val="3"/>
        </w:numPr>
        <w:spacing w:after="60"/>
      </w:pPr>
      <w:r>
        <w:rPr>
          <w:rFonts w:ascii="Arial" w:cs="Arial" w:eastAsia="Arial" w:hAnsi="Arial"/>
          <w:color w:val="475569"/>
          <w:sz w:val="22"/>
          <w:szCs w:val="22"/>
        </w:rPr>
        <w:t xml:space="preserve">Register each campaign via POST /api/admin/campaigns with the Instantly campaign IDs, client_key, bucket names, confidence thresholds, and the variables JSON (practice name, doctor, testimonials, booking link).</w:t>
      </w:r>
    </w:p>
    <w:p>
      <w:pPr>
        <w:pStyle w:val="ListParagraph"/>
        <w:numPr>
          <w:ilvl w:val="0"/>
          <w:numId w:val="3"/>
        </w:numPr>
        <w:spacing w:after="60"/>
      </w:pPr>
      <w:r>
        <w:rPr>
          <w:rFonts w:ascii="Arial" w:cs="Arial" w:eastAsia="Arial" w:hAnsi="Arial"/>
          <w:color w:val="475569"/>
          <w:sz w:val="22"/>
          <w:szCs w:val="22"/>
        </w:rPr>
        <w:t xml:space="preserve">Set active = true on each campaign when ready to go live.</w:t>
      </w:r>
    </w:p>
    <w:p>
      <w:pPr>
        <w:spacing w:after="120"/>
      </w:pPr>
      <w:r>
        <w:rPr>
          <w:rFonts w:ascii="Arial" w:cs="Arial" w:eastAsia="Arial" w:hAnsi="Arial"/>
          <w:b w:val="false"/>
          <w:bCs w:val="false"/>
          <w:color w:val="475569"/>
          <w:sz w:val="22"/>
          <w:szCs w:val="22"/>
        </w:rPr>
        <w:t xml:space="preserve">The same 6 Instantly campaign templates can be cloned for each new client — only the variables JSON changes. For clients in the same vertical (e.g., two spine surgeons), the email copy structure is identical; the variables differentiate them completely.</w:t>
      </w:r>
    </w:p>
    <w:p>
      <w:pPr>
        <w:pStyle w:val="Heading3"/>
      </w:pPr>
      <w:r>
        <w:rPr>
          <w:rFonts w:ascii="Arial" w:cs="Arial" w:eastAsia="Arial" w:hAnsi="Arial"/>
        </w:rPr>
        <w:t xml:space="preserve">Vertical Portability</w:t>
      </w:r>
    </w:p>
    <w:p>
      <w:pPr>
        <w:spacing w:after="120"/>
      </w:pPr>
      <w:r>
        <w:rPr>
          <w:rFonts w:ascii="Arial" w:cs="Arial" w:eastAsia="Arial" w:hAnsi="Arial"/>
          <w:b w:val="false"/>
          <w:bCs w:val="false"/>
          <w:color w:val="475569"/>
          <w:sz w:val="22"/>
          <w:szCs w:val="22"/>
        </w:rPr>
        <w:t xml:space="preserve">The 6 campaign buckets map to any service-based vertical: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20"/>
        <w:gridCol w:w="1920"/>
        <w:gridCol w:w="1920"/>
      </w:tblGrid>
      <w:tr>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18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Spine Surgeon</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Plastic Surgeon</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SaaS (CMMS)</w:t>
            </w:r>
          </w:p>
        </w:tc>
        <w:tc>
          <w:tcPr>
            <w:tcW w:type="dxa" w:w="192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Event Venue</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Ready to Book</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Contact, appointment</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Consultation, pricing</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Demo request, free trial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Tour, availability</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Provider</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Dr. bios, team page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Surgeon credentials</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Company about page</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Venue history, about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Procedure</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Spinal fusion, ACDF</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Rhinoplasty, facelift</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Work orders, CMMS features</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Catering, packages</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Condition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Scoliosis, herniated disc</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Breast asymmetry</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Industry challenges</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Wedding, corporate event</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Return</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r>
      <w:tr>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General</w:t>
            </w:r>
          </w:p>
        </w:tc>
        <w:tc>
          <w:tcPr>
            <w:tcW w:type="dxa" w:w="18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c>
          <w:tcPr>
            <w:tcW w:type="dxa" w:w="192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Same across all</w:t>
            </w:r>
          </w:p>
        </w:tc>
      </w:tr>
    </w:tbl>
    <w:p>
      <w:pPr>
        <w:pBdr>
          <w:bottom w:val="single" w:color="CBD5E1" w:sz="2" w:space="8"/>
        </w:pBdr>
        <w:spacing w:after="200" w:before="200"/>
      </w:pPr>
    </w:p>
    <w:p>
      <w:pPr>
        <w:pStyle w:val="Heading1"/>
      </w:pPr>
      <w:r>
        <w:rPr>
          <w:rFonts w:ascii="Arial" w:cs="Arial" w:eastAsia="Arial" w:hAnsi="Arial"/>
        </w:rPr>
        <w:t xml:space="preserve">10. Environment Variables</w:t>
      </w:r>
    </w:p>
    <w:p>
      <w:pPr>
        <w:spacing w:after="120"/>
      </w:pPr>
      <w:r>
        <w:rPr>
          <w:rFonts w:ascii="Arial" w:cs="Arial" w:eastAsia="Arial" w:hAnsi="Arial"/>
          <w:b w:val="false"/>
          <w:bCs w:val="false"/>
          <w:color w:val="475569"/>
          <w:sz w:val="22"/>
          <w:szCs w:val="22"/>
        </w:rPr>
        <w:t xml:space="preserve">New Vercel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160"/>
            <w:tcBorders>
              <w:top w:val="single" w:color="CBD5E1" w:sz="1"/>
              <w:left w:val="single" w:color="CBD5E1" w:sz="1"/>
              <w:bottom w:val="single" w:color="CBD5E1" w:sz="1"/>
              <w:right w:val="single" w:color="CBD5E1"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INSTANTLY_API_KEY</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Instantly.ai API key (V2) with leads:create scope</w:t>
            </w:r>
          </w:p>
        </w:tc>
      </w:tr>
      <w:tr>
        <w:tc>
          <w:tcPr>
            <w:tcW w:type="dxa" w:w="320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bCs/>
                <w:color w:val="475569"/>
                <w:sz w:val="20"/>
                <w:szCs w:val="20"/>
              </w:rPr>
              <w:t xml:space="preserve">INSTANTLY_PUSH_ENABLED</w:t>
            </w:r>
          </w:p>
        </w:tc>
        <w:tc>
          <w:tcPr>
            <w:tcW w:type="dxa" w:w="6160"/>
            <w:tcBorders>
              <w:top w:val="single" w:color="CBD5E1" w:sz="1"/>
              <w:left w:val="single" w:color="CBD5E1" w:sz="1"/>
              <w:bottom w:val="single" w:color="CBD5E1" w:sz="1"/>
              <w:right w:val="single" w:color="CBD5E1" w:sz="1"/>
            </w:tcBorders>
            <w:tcMar>
              <w:top w:type="dxa" w:w="80"/>
              <w:left w:type="dxa" w:w="120"/>
              <w:bottom w:type="dxa" w:w="80"/>
              <w:right w:type="dxa" w:w="120"/>
            </w:tcMar>
          </w:tcPr>
          <w:p>
            <w:r>
              <w:rPr>
                <w:rFonts w:ascii="Arial" w:cs="Arial" w:eastAsia="Arial" w:hAnsi="Arial"/>
                <w:b w:val="false"/>
                <w:bCs w:val="false"/>
                <w:color w:val="475569"/>
                <w:sz w:val="20"/>
                <w:szCs w:val="20"/>
              </w:rPr>
              <w:t xml:space="preserve">Global kill switch: set to “true” to enable push cron (default: disabled)</w:t>
            </w:r>
          </w:p>
        </w:tc>
      </w:tr>
    </w:tbl>
    <w:p>
      <w:pPr>
        <w:pBdr>
          <w:bottom w:val="single" w:color="CBD5E1" w:sz="2" w:space="8"/>
        </w:pBdr>
        <w:spacing w:after="200" w:before="200"/>
      </w:pPr>
    </w:p>
    <w:p>
      <w:pPr>
        <w:pStyle w:val="Heading1"/>
      </w:pPr>
      <w:r>
        <w:rPr>
          <w:rFonts w:ascii="Arial" w:cs="Arial" w:eastAsia="Arial" w:hAnsi="Arial"/>
        </w:rPr>
        <w:t xml:space="preserve">11. Implementation Phases</w:t>
      </w:r>
    </w:p>
    <w:p>
      <w:pPr>
        <w:pStyle w:val="Heading3"/>
      </w:pPr>
      <w:r>
        <w:rPr>
          <w:rFonts w:ascii="Arial" w:cs="Arial" w:eastAsia="Arial" w:hAnsi="Arial"/>
        </w:rPr>
        <w:t xml:space="preserve">Phase 1: Database &amp; Processing (No External Dependencies)</w:t>
      </w:r>
    </w:p>
    <w:p>
      <w:pPr>
        <w:pStyle w:val="ListParagraph"/>
        <w:numPr>
          <w:ilvl w:val="0"/>
          <w:numId w:val="2"/>
        </w:numPr>
        <w:spacing w:after="60"/>
      </w:pPr>
      <w:r>
        <w:rPr>
          <w:rFonts w:ascii="Arial" w:cs="Arial" w:eastAsia="Arial" w:hAnsi="Arial"/>
          <w:color w:val="475569"/>
          <w:sz w:val="22"/>
          <w:szCs w:val="22"/>
        </w:rPr>
        <w:t xml:space="preserve">Run migration to add campaigns, email_enrollments tables and new visitor columns</w:t>
      </w:r>
    </w:p>
    <w:p>
      <w:pPr>
        <w:pStyle w:val="ListParagraph"/>
        <w:numPr>
          <w:ilvl w:val="0"/>
          <w:numId w:val="2"/>
        </w:numPr>
        <w:spacing w:after="60"/>
      </w:pPr>
      <w:r>
        <w:rPr>
          <w:rFonts w:ascii="Arial" w:cs="Arial" w:eastAsia="Arial" w:hAnsi="Arial"/>
          <w:color w:val="475569"/>
          <w:sz w:val="22"/>
          <w:szCs w:val="22"/>
        </w:rPr>
        <w:t xml:space="preserve">Update process-visitors cron to compute primary_interest, campaign_bucket, and email_eligible</w:t>
      </w:r>
    </w:p>
    <w:p>
      <w:pPr>
        <w:pStyle w:val="ListParagraph"/>
        <w:numPr>
          <w:ilvl w:val="0"/>
          <w:numId w:val="2"/>
        </w:numPr>
        <w:spacing w:after="60"/>
      </w:pPr>
      <w:r>
        <w:rPr>
          <w:rFonts w:ascii="Arial" w:cs="Arial" w:eastAsia="Arial" w:hAnsi="Arial"/>
          <w:color w:val="475569"/>
          <w:sz w:val="22"/>
          <w:szCs w:val="22"/>
        </w:rPr>
        <w:t xml:space="preserve">Build admin API for campaign CRUD</w:t>
      </w:r>
    </w:p>
    <w:p>
      <w:pPr>
        <w:pStyle w:val="ListParagraph"/>
        <w:numPr>
          <w:ilvl w:val="0"/>
          <w:numId w:val="2"/>
        </w:numPr>
        <w:spacing w:after="60"/>
      </w:pPr>
      <w:r>
        <w:rPr>
          <w:rFonts w:ascii="Arial" w:cs="Arial" w:eastAsia="Arial" w:hAnsi="Arial"/>
          <w:color w:val="475569"/>
          <w:sz w:val="22"/>
          <w:szCs w:val="22"/>
        </w:rPr>
        <w:t xml:space="preserve">Verify with SA Spine data: confirm primary interests are computed correctly</w:t>
      </w:r>
    </w:p>
    <w:p>
      <w:pPr>
        <w:pStyle w:val="Heading3"/>
      </w:pPr>
      <w:r>
        <w:rPr>
          <w:rFonts w:ascii="Arial" w:cs="Arial" w:eastAsia="Arial" w:hAnsi="Arial"/>
        </w:rPr>
        <w:t xml:space="preserve">Phase 2: Instantly Integration</w:t>
      </w:r>
    </w:p>
    <w:p>
      <w:pPr>
        <w:pStyle w:val="ListParagraph"/>
        <w:numPr>
          <w:ilvl w:val="0"/>
          <w:numId w:val="2"/>
        </w:numPr>
        <w:spacing w:after="60"/>
      </w:pPr>
      <w:r>
        <w:rPr>
          <w:rFonts w:ascii="Arial" w:cs="Arial" w:eastAsia="Arial" w:hAnsi="Arial"/>
          <w:color w:val="475569"/>
          <w:sz w:val="22"/>
          <w:szCs w:val="22"/>
        </w:rPr>
        <w:t xml:space="preserve">Set up Instantly workspace and create 6 campaign templates for SA Spine</w:t>
      </w:r>
    </w:p>
    <w:p>
      <w:pPr>
        <w:pStyle w:val="ListParagraph"/>
        <w:numPr>
          <w:ilvl w:val="0"/>
          <w:numId w:val="2"/>
        </w:numPr>
        <w:spacing w:after="60"/>
      </w:pPr>
      <w:r>
        <w:rPr>
          <w:rFonts w:ascii="Arial" w:cs="Arial" w:eastAsia="Arial" w:hAnsi="Arial"/>
          <w:color w:val="475569"/>
          <w:sz w:val="22"/>
          <w:szCs w:val="22"/>
        </w:rPr>
        <w:t xml:space="preserve">Build push-instantly cron with batched API calls</w:t>
      </w:r>
    </w:p>
    <w:p>
      <w:pPr>
        <w:pStyle w:val="ListParagraph"/>
        <w:numPr>
          <w:ilvl w:val="0"/>
          <w:numId w:val="2"/>
        </w:numPr>
        <w:spacing w:after="60"/>
      </w:pPr>
      <w:r>
        <w:rPr>
          <w:rFonts w:ascii="Arial" w:cs="Arial" w:eastAsia="Arial" w:hAnsi="Arial"/>
          <w:color w:val="475569"/>
          <w:sz w:val="22"/>
          <w:szCs w:val="22"/>
        </w:rPr>
        <w:t xml:space="preserve">Register SA Spine campaigns via admin API with Instantly campaign IDs</w:t>
      </w:r>
    </w:p>
    <w:p>
      <w:pPr>
        <w:pStyle w:val="ListParagraph"/>
        <w:numPr>
          <w:ilvl w:val="0"/>
          <w:numId w:val="2"/>
        </w:numPr>
        <w:spacing w:after="60"/>
      </w:pPr>
      <w:r>
        <w:rPr>
          <w:rFonts w:ascii="Arial" w:cs="Arial" w:eastAsia="Arial" w:hAnsi="Arial"/>
          <w:color w:val="475569"/>
          <w:sz w:val="22"/>
          <w:szCs w:val="22"/>
        </w:rPr>
        <w:t xml:space="preserve">Test with active = false, then enable one bucket at a time</w:t>
      </w:r>
    </w:p>
    <w:p>
      <w:pPr>
        <w:pStyle w:val="Heading3"/>
      </w:pPr>
      <w:r>
        <w:rPr>
          <w:rFonts w:ascii="Arial" w:cs="Arial" w:eastAsia="Arial" w:hAnsi="Arial"/>
        </w:rPr>
        <w:t xml:space="preserve">Phase 3: Monitoring &amp; Scale</w:t>
      </w:r>
    </w:p>
    <w:p>
      <w:pPr>
        <w:pStyle w:val="ListParagraph"/>
        <w:numPr>
          <w:ilvl w:val="0"/>
          <w:numId w:val="2"/>
        </w:numPr>
        <w:spacing w:after="60"/>
      </w:pPr>
      <w:r>
        <w:rPr>
          <w:rFonts w:ascii="Arial" w:cs="Arial" w:eastAsia="Arial" w:hAnsi="Arial"/>
          <w:color w:val="475569"/>
          <w:sz w:val="22"/>
          <w:szCs w:val="22"/>
        </w:rPr>
        <w:t xml:space="preserve">Add enrollment stats to the admin dashboard</w:t>
      </w:r>
    </w:p>
    <w:p>
      <w:pPr>
        <w:pStyle w:val="ListParagraph"/>
        <w:numPr>
          <w:ilvl w:val="0"/>
          <w:numId w:val="2"/>
        </w:numPr>
        <w:spacing w:after="60"/>
      </w:pPr>
      <w:r>
        <w:rPr>
          <w:rFonts w:ascii="Arial" w:cs="Arial" w:eastAsia="Arial" w:hAnsi="Arial"/>
          <w:color w:val="475569"/>
          <w:sz w:val="22"/>
          <w:szCs w:val="22"/>
        </w:rPr>
        <w:t xml:space="preserve">Set up Instantly webhook for bounce/reply tracking (update email_enrollments.status)</w:t>
      </w:r>
    </w:p>
    <w:p>
      <w:pPr>
        <w:pStyle w:val="ListParagraph"/>
        <w:numPr>
          <w:ilvl w:val="0"/>
          <w:numId w:val="2"/>
        </w:numPr>
        <w:spacing w:after="60"/>
      </w:pPr>
      <w:r>
        <w:rPr>
          <w:rFonts w:ascii="Arial" w:cs="Arial" w:eastAsia="Arial" w:hAnsi="Arial"/>
          <w:color w:val="475569"/>
          <w:sz w:val="22"/>
          <w:szCs w:val="22"/>
        </w:rPr>
        <w:t xml:space="preserve">Onboard second client using the same campaign templates with new variables</w:t>
      </w:r>
    </w:p>
    <w:p>
      <w:pPr>
        <w:pStyle w:val="ListParagraph"/>
        <w:numPr>
          <w:ilvl w:val="0"/>
          <w:numId w:val="2"/>
        </w:numPr>
        <w:spacing w:after="60"/>
      </w:pPr>
      <w:r>
        <w:rPr>
          <w:rFonts w:ascii="Arial" w:cs="Arial" w:eastAsia="Arial" w:hAnsi="Arial"/>
          <w:color w:val="475569"/>
          <w:sz w:val="22"/>
          <w:szCs w:val="22"/>
        </w:rPr>
        <w:t xml:space="preserve">Document the client onboarding checklist for repeatable setup</w:t>
      </w:r>
    </w:p>
    <w:p>
      <w:pPr>
        <w:pBdr>
          <w:bottom w:val="single" w:color="CBD5E1" w:sz="2" w:space="8"/>
        </w:pBdr>
        <w:spacing w:after="200" w:before="200"/>
      </w:pPr>
    </w:p>
    <w:p>
      <w:pPr>
        <w:pStyle w:val="Heading1"/>
      </w:pPr>
      <w:r>
        <w:rPr>
          <w:rFonts w:ascii="Arial" w:cs="Arial" w:eastAsia="Arial" w:hAnsi="Arial"/>
        </w:rPr>
        <w:t xml:space="preserve">12. Spam Risk Mitigation &amp; Compliance</w:t>
      </w:r>
    </w:p>
    <w:p>
      <w:pPr>
        <w:pStyle w:val="Heading3"/>
      </w:pPr>
      <w:r>
        <w:rPr>
          <w:rFonts w:ascii="Arial" w:cs="Arial" w:eastAsia="Arial" w:hAnsi="Arial"/>
        </w:rPr>
        <w:t xml:space="preserve">Content Uniqueness</w:t>
      </w:r>
    </w:p>
    <w:p>
      <w:pPr>
        <w:spacing w:after="120"/>
      </w:pPr>
      <w:r>
        <w:rPr>
          <w:rFonts w:ascii="Arial" w:cs="Arial" w:eastAsia="Arial" w:hAnsi="Arial"/>
          <w:b w:val="false"/>
          <w:bCs w:val="false"/>
          <w:color w:val="475569"/>
          <w:sz w:val="22"/>
          <w:szCs w:val="22"/>
        </w:rPr>
        <w:t xml:space="preserve">Every email sent through this system is content-unique due to custom variables. Even two visitors in the same campaign bucket with the same interest receive emails with different names, cities, and potentially different testimonials. Spam filters that flag identical content across recipients will see each email as an individual send.</w:t>
      </w:r>
    </w:p>
    <w:p>
      <w:pPr>
        <w:pStyle w:val="Heading3"/>
      </w:pPr>
      <w:r>
        <w:rPr>
          <w:rFonts w:ascii="Arial" w:cs="Arial" w:eastAsia="Arial" w:hAnsi="Arial"/>
        </w:rPr>
        <w:t xml:space="preserve">Volume Controls</w:t>
      </w:r>
    </w:p>
    <w:p>
      <w:pPr>
        <w:pStyle w:val="ListParagraph"/>
        <w:numPr>
          <w:ilvl w:val="0"/>
          <w:numId w:val="2"/>
        </w:numPr>
        <w:spacing w:after="60"/>
      </w:pPr>
      <w:r>
        <w:rPr>
          <w:rFonts w:ascii="Arial" w:cs="Arial" w:eastAsia="Arial" w:hAnsi="Arial"/>
          <w:color w:val="475569"/>
          <w:sz w:val="22"/>
          <w:szCs w:val="22"/>
        </w:rPr>
        <w:t xml:space="preserve">Instantly manages send rate limiting and warm-up schedules per sending account</w:t>
      </w:r>
    </w:p>
    <w:p>
      <w:pPr>
        <w:pStyle w:val="ListParagraph"/>
        <w:numPr>
          <w:ilvl w:val="0"/>
          <w:numId w:val="2"/>
        </w:numPr>
        <w:spacing w:after="60"/>
      </w:pPr>
      <w:r>
        <w:rPr>
          <w:rFonts w:ascii="Arial" w:cs="Arial" w:eastAsia="Arial" w:hAnsi="Arial"/>
          <w:color w:val="475569"/>
          <w:sz w:val="22"/>
          <w:szCs w:val="22"/>
        </w:rPr>
        <w:t xml:space="preserve">The push cron runs once daily, creating natural batching rather than real-time triggers</w:t>
      </w:r>
    </w:p>
    <w:p>
      <w:pPr>
        <w:pStyle w:val="ListParagraph"/>
        <w:numPr>
          <w:ilvl w:val="0"/>
          <w:numId w:val="2"/>
        </w:numPr>
        <w:spacing w:after="60"/>
      </w:pPr>
      <w:r>
        <w:rPr>
          <w:rFonts w:ascii="Arial" w:cs="Arial" w:eastAsia="Arial" w:hAnsi="Arial"/>
          <w:color w:val="475569"/>
          <w:sz w:val="22"/>
          <w:szCs w:val="22"/>
        </w:rPr>
        <w:t xml:space="preserve">Confidence thresholds prevent low-quality (likely bot/fake) leads from entering campaigns</w:t>
      </w:r>
    </w:p>
    <w:p>
      <w:pPr>
        <w:pStyle w:val="ListParagraph"/>
        <w:numPr>
          <w:ilvl w:val="0"/>
          <w:numId w:val="2"/>
        </w:numPr>
        <w:spacing w:after="60"/>
      </w:pPr>
      <w:r>
        <w:rPr>
          <w:rFonts w:ascii="Arial" w:cs="Arial" w:eastAsia="Arial" w:hAnsi="Arial"/>
          <w:color w:val="475569"/>
          <w:sz w:val="22"/>
          <w:szCs w:val="22"/>
        </w:rPr>
        <w:t xml:space="preserve">The email_eligible flag ensures only visitors with verified emails are considered</w:t>
      </w:r>
    </w:p>
    <w:p>
      <w:pPr>
        <w:pStyle w:val="Heading3"/>
      </w:pPr>
      <w:r>
        <w:rPr>
          <w:rFonts w:ascii="Arial" w:cs="Arial" w:eastAsia="Arial" w:hAnsi="Arial"/>
        </w:rPr>
        <w:t xml:space="preserve">Compliance Considerations</w:t>
      </w:r>
    </w:p>
    <w:p>
      <w:pPr>
        <w:pStyle w:val="ListParagraph"/>
        <w:numPr>
          <w:ilvl w:val="0"/>
          <w:numId w:val="2"/>
        </w:numPr>
        <w:spacing w:after="60"/>
      </w:pPr>
      <w:r>
        <w:rPr>
          <w:rFonts w:ascii="Arial" w:cs="Arial" w:eastAsia="Arial" w:hAnsi="Arial"/>
          <w:color w:val="475569"/>
          <w:sz w:val="22"/>
          <w:szCs w:val="22"/>
        </w:rPr>
        <w:t xml:space="preserve">CAN-SPAM: all emails must include physical address and unsubscribe link (managed in Instantly templates)</w:t>
      </w:r>
    </w:p>
    <w:p>
      <w:pPr>
        <w:pStyle w:val="ListParagraph"/>
        <w:numPr>
          <w:ilvl w:val="0"/>
          <w:numId w:val="2"/>
        </w:numPr>
        <w:spacing w:after="60"/>
      </w:pPr>
      <w:r>
        <w:rPr>
          <w:rFonts w:ascii="Arial" w:cs="Arial" w:eastAsia="Arial" w:hAnsi="Arial"/>
          <w:color w:val="475569"/>
          <w:sz w:val="22"/>
          <w:szCs w:val="22"/>
        </w:rPr>
        <w:t xml:space="preserve">Unsubscribe handling: Instantly manages opt-outs; our system respects Instantly’s blocklist on subsequent pushes</w:t>
      </w:r>
    </w:p>
    <w:p>
      <w:pPr>
        <w:pStyle w:val="ListParagraph"/>
        <w:numPr>
          <w:ilvl w:val="0"/>
          <w:numId w:val="2"/>
        </w:numPr>
        <w:spacing w:after="60"/>
      </w:pPr>
      <w:r>
        <w:rPr>
          <w:rFonts w:ascii="Arial" w:cs="Arial" w:eastAsia="Arial" w:hAnsi="Arial"/>
          <w:color w:val="475569"/>
          <w:sz w:val="22"/>
          <w:szCs w:val="22"/>
        </w:rPr>
        <w:t xml:space="preserve">Data retention: email_enrollments provides a full audit trail of what was sent, when, and with what variables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CONFIDENTIAL  —  P5 Marketing  —  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pPr>
    <w:r>
      <w:rPr>
        <w:rFonts w:ascii="Arial" w:cs="Arial" w:eastAsia="Arial" w:hAnsi="Arial"/>
        <w:b/>
        <w:bCs/>
        <w:color w:val="4F46E5"/>
        <w:sz w:val="18"/>
        <w:szCs w:val="18"/>
      </w:rPr>
      <w:t xml:space="preserve">VisitorID™ Intent-Based Email Outreach</w:t>
    </w:r>
    <w:r>
      <w:rPr>
        <w:rFonts w:ascii="Arial" w:cs="Arial" w:eastAsia="Arial" w:hAnsi="Arial"/>
        <w:color w:val="94A3B8"/>
        <w:sz w:val="18"/>
        <w:szCs w:val="18"/>
      </w:rPr>
      <w:t xml:space="preserve">  |  Architecture Specification  |  P5 Marketing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93B"/>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4F46E5"/>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E29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2026-04-08T21:03:21.801Z</dcterms:created>
  <dcterms:modified xsi:type="dcterms:W3CDTF">2026-04-08T21:03:21.801Z</dcterms:modified>
</cp:coreProperties>
</file>

<file path=docProps/custom.xml><?xml version="1.0" encoding="utf-8"?>
<Properties xmlns="http://schemas.openxmlformats.org/officeDocument/2006/custom-properties" xmlns:vt="http://schemas.openxmlformats.org/officeDocument/2006/docPropsVTypes"/>
</file>