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4110D"/>
          <w:sz w:val="32"/>
          <w:szCs w:val="32"/>
        </w:rPr>
        <w:t xml:space="preserve">P5 VISUAL DIRECTION BRIEF  |  MAY 2026</w:t>
      </w:r>
    </w:p>
    <w:p>
      <w:pPr>
        <w:pBdr>
          <w:bottom w:val="single" w:color="3B4E36" w:sz="12" w:space="6"/>
        </w:pBdr>
        <w:spacing w:after="220"/>
      </w:pPr>
      <w:r>
        <w:rPr>
          <w:i/>
          <w:iCs/>
          <w:color w:val="6B6358"/>
          <w:sz w:val="18"/>
          <w:szCs w:val="18"/>
        </w:rPr>
        <w:t xml:space="preserve">For the lead marketing and sales agency for aesthetic medicine practices. The doc itself is colored in the proposed palette so you can react to the direction, not just the words.</w:t>
      </w:r>
    </w:p>
    <w:p>
      <w:pPr>
        <w:spacing w:after="60" w:before="160"/>
      </w:pPr>
      <w:r>
        <w:rPr>
          <w:b/>
          <w:bCs/>
          <w:color w:val="3B4E36"/>
          <w:sz w:val="22"/>
          <w:szCs w:val="22"/>
        </w:rPr>
        <w:t xml:space="preserve">THE SYNTHESIS</w:t>
      </w:r>
    </w:p>
    <w:p>
      <w:pPr>
        <w:spacing w:after="50"/>
      </w:pPr>
      <w:r>
        <w:rPr>
          <w:color w:val="14110D"/>
          <w:sz w:val="19"/>
          <w:szCs w:val="19"/>
        </w:rPr>
        <w:t xml:space="preserve">"Authority, but we get you." P5 has to read as a boutique advisory firm that has obviously spent its career around aesthetic practices. Pure boutique advisory (think Brunswick Group, navy and stone, corporate gravitas) reads stuffy and clueless about the visual world the client lives in. Pure aesthetic-fluency (think Kinfolk, Cereal, beautifully art-directed but soft) reads like another vendor trying to look pretty. The combination is the moat. The visual rules below all serve that synthesis.</w:t>
      </w:r>
    </w:p>
    <w:p>
      <w:pPr>
        <w:spacing w:after="60" w:before="160"/>
      </w:pPr>
      <w:r>
        <w:rPr>
          <w:b/>
          <w:bCs/>
          <w:color w:val="3B4E36"/>
          <w:sz w:val="22"/>
          <w:szCs w:val="22"/>
        </w:rPr>
        <w:t xml:space="preserve">THE FIVE-SECOND READ</w:t>
      </w:r>
    </w:p>
    <w:p>
      <w:pPr>
        <w:spacing w:after="50"/>
      </w:pPr>
      <w:r>
        <w:rPr>
          <w:color w:val="14110D"/>
          <w:sz w:val="19"/>
          <w:szCs w:val="19"/>
        </w:rPr>
        <w:t xml:space="preserve">When an aesthetic practice owner lands on the site, they should feel: "These people are serious, they obviously understand my world, and they are not trying to sell me anything in the first ten seconds."</w:t>
      </w:r>
    </w:p>
    <w:p>
      <w:pPr>
        <w:spacing w:after="60" w:before="160"/>
      </w:pPr>
      <w:r>
        <w:rPr>
          <w:b/>
          <w:bCs/>
          <w:color w:val="3B4E36"/>
          <w:sz w:val="22"/>
          <w:szCs w:val="22"/>
        </w:rPr>
        <w:t xml:space="preserve">REFERENCE SET</w:t>
      </w:r>
    </w:p>
    <w:p>
      <w:pPr>
        <w:spacing w:after="40"/>
      </w:pPr>
      <w:r>
        <w:rPr>
          <w:i/>
          <w:iCs/>
          <w:color w:val="8A8278"/>
          <w:sz w:val="17"/>
          <w:szCs w:val="17"/>
        </w:rPr>
        <w:t xml:space="preserve">Three buckets: authority anchors, aesthetic-fluency anchors, and synthesis brands that already do both. Worth pulling all of these up in a browser side by side.</w:t>
      </w:r>
    </w:p>
    <w:p>
      <w:pPr>
        <w:spacing w:after="50"/>
      </w:pPr>
      <w:r>
        <w:rPr>
          <w:b/>
          <w:bCs/>
          <w:color w:val="14110D"/>
          <w:sz w:val="19"/>
          <w:szCs w:val="19"/>
        </w:rPr>
        <w:t xml:space="preserve">Authority anchors (boutique advisory):</w:t>
      </w:r>
    </w:p>
    <w:p>
      <w:pPr>
        <w:pStyle w:val="ListParagraph"/>
        <w:numPr>
          <w:ilvl w:val="0"/>
          <w:numId w:val="2"/>
        </w:numPr>
        <w:spacing w:after="40"/>
      </w:pPr>
      <w:r>
        <w:rPr>
          <w:b/>
          <w:bCs/>
          <w:color w:val="14110D"/>
          <w:sz w:val="19"/>
          <w:szCs w:val="19"/>
        </w:rPr>
        <w:t xml:space="preserve">Joele Frank. </w:t>
      </w:r>
      <w:r>
        <w:rPr>
          <w:i/>
          <w:iCs/>
          <w:color w:val="8A8278"/>
          <w:sz w:val="17"/>
          <w:szCs w:val="17"/>
        </w:rPr>
        <w:t xml:space="preserve">joelefrank.com  </w:t>
      </w:r>
      <w:r>
        <w:rPr>
          <w:color w:val="14110D"/>
          <w:sz w:val="19"/>
          <w:szCs w:val="19"/>
        </w:rPr>
        <w:t xml:space="preserve">Boutique strategic advisory. Restrained, type-led, confident. Take the restraint and the refusal to look "designed." Leave the dated photography.</w:t>
      </w:r>
    </w:p>
    <w:p>
      <w:pPr>
        <w:pStyle w:val="ListParagraph"/>
        <w:numPr>
          <w:ilvl w:val="0"/>
          <w:numId w:val="2"/>
        </w:numPr>
        <w:spacing w:after="40"/>
      </w:pPr>
      <w:r>
        <w:rPr>
          <w:b/>
          <w:bCs/>
          <w:color w:val="14110D"/>
          <w:sz w:val="19"/>
          <w:szCs w:val="19"/>
        </w:rPr>
        <w:t xml:space="preserve">Sard Verbinnen &amp; Co. </w:t>
      </w:r>
      <w:r>
        <w:rPr>
          <w:i/>
          <w:iCs/>
          <w:color w:val="8A8278"/>
          <w:sz w:val="17"/>
          <w:szCs w:val="17"/>
        </w:rPr>
        <w:t xml:space="preserve">sardverb.com  </w:t>
      </w:r>
      <w:r>
        <w:rPr>
          <w:color w:val="14110D"/>
          <w:sz w:val="19"/>
          <w:szCs w:val="19"/>
        </w:rPr>
        <w:t xml:space="preserve">Boutique financial PR. Quiet authority, generous whitespace. Take the type hierarchy and the navigation restraint.</w:t>
      </w:r>
    </w:p>
    <w:p>
      <w:pPr>
        <w:pStyle w:val="ListParagraph"/>
        <w:numPr>
          <w:ilvl w:val="0"/>
          <w:numId w:val="2"/>
        </w:numPr>
        <w:spacing w:after="40"/>
      </w:pPr>
      <w:r>
        <w:rPr>
          <w:b/>
          <w:bCs/>
          <w:color w:val="14110D"/>
          <w:sz w:val="19"/>
          <w:szCs w:val="19"/>
        </w:rPr>
        <w:t xml:space="preserve">Brunswick Group. </w:t>
      </w:r>
      <w:r>
        <w:rPr>
          <w:i/>
          <w:iCs/>
          <w:color w:val="8A8278"/>
          <w:sz w:val="17"/>
          <w:szCs w:val="17"/>
        </w:rPr>
        <w:t xml:space="preserve">brunswickgroup.com  </w:t>
      </w:r>
      <w:r>
        <w:rPr>
          <w:color w:val="14110D"/>
          <w:sz w:val="19"/>
          <w:szCs w:val="19"/>
        </w:rPr>
        <w:t xml:space="preserve">Global corporate advisory. Slightly too corporate but the best reference for how serious-firm sites organize content. Take the structure, leave the color palette.</w:t>
      </w:r>
    </w:p>
    <w:p>
      <w:pPr>
        <w:spacing w:after="50"/>
      </w:pPr>
      <w:r>
        <w:rPr>
          <w:b/>
          <w:bCs/>
          <w:color w:val="14110D"/>
          <w:sz w:val="19"/>
          <w:szCs w:val="19"/>
        </w:rPr>
        <w:t xml:space="preserve">Aesthetic-fluency anchors (editorial/luxury):</w:t>
      </w:r>
    </w:p>
    <w:p>
      <w:pPr>
        <w:pStyle w:val="ListParagraph"/>
        <w:numPr>
          <w:ilvl w:val="0"/>
          <w:numId w:val="2"/>
        </w:numPr>
        <w:spacing w:after="40"/>
      </w:pPr>
      <w:r>
        <w:rPr>
          <w:b/>
          <w:bCs/>
          <w:color w:val="14110D"/>
          <w:sz w:val="19"/>
          <w:szCs w:val="19"/>
        </w:rPr>
        <w:t xml:space="preserve">The Gentlewoman. </w:t>
      </w:r>
      <w:r>
        <w:rPr>
          <w:i/>
          <w:iCs/>
          <w:color w:val="8A8278"/>
          <w:sz w:val="17"/>
          <w:szCs w:val="17"/>
        </w:rPr>
        <w:t xml:space="preserve">thegentlewoman.co.uk  </w:t>
      </w:r>
      <w:r>
        <w:rPr>
          <w:color w:val="14110D"/>
          <w:sz w:val="19"/>
          <w:szCs w:val="19"/>
        </w:rPr>
        <w:t xml:space="preserve">Editorial authority done right. Serif display, considered photography, no decoration. The closest reference for the feel of the headline pages.</w:t>
      </w:r>
    </w:p>
    <w:p>
      <w:pPr>
        <w:pStyle w:val="ListParagraph"/>
        <w:numPr>
          <w:ilvl w:val="0"/>
          <w:numId w:val="2"/>
        </w:numPr>
        <w:spacing w:after="40"/>
      </w:pPr>
      <w:r>
        <w:rPr>
          <w:b/>
          <w:bCs/>
          <w:color w:val="14110D"/>
          <w:sz w:val="19"/>
          <w:szCs w:val="19"/>
        </w:rPr>
        <w:t xml:space="preserve">Cereal Magazine. </w:t>
      </w:r>
      <w:r>
        <w:rPr>
          <w:i/>
          <w:iCs/>
          <w:color w:val="8A8278"/>
          <w:sz w:val="17"/>
          <w:szCs w:val="17"/>
        </w:rPr>
        <w:t xml:space="preserve">readcereal.com  </w:t>
      </w:r>
      <w:r>
        <w:rPr>
          <w:color w:val="14110D"/>
          <w:sz w:val="19"/>
          <w:szCs w:val="19"/>
        </w:rPr>
        <w:t xml:space="preserve">Editorial restraint, off-white background, very limited palette. Take the warmth and the discipline.</w:t>
      </w:r>
    </w:p>
    <w:p>
      <w:pPr>
        <w:pStyle w:val="ListParagraph"/>
        <w:numPr>
          <w:ilvl w:val="0"/>
          <w:numId w:val="2"/>
        </w:numPr>
        <w:spacing w:after="40"/>
      </w:pPr>
      <w:r>
        <w:rPr>
          <w:b/>
          <w:bCs/>
          <w:color w:val="14110D"/>
          <w:sz w:val="19"/>
          <w:szCs w:val="19"/>
        </w:rPr>
        <w:t xml:space="preserve">T Magazine (NYT). </w:t>
      </w:r>
      <w:r>
        <w:rPr>
          <w:i/>
          <w:iCs/>
          <w:color w:val="8A8278"/>
          <w:sz w:val="17"/>
          <w:szCs w:val="17"/>
        </w:rPr>
        <w:t xml:space="preserve">nytimes.com/section/t-magazine  </w:t>
      </w:r>
      <w:r>
        <w:rPr>
          <w:color w:val="14110D"/>
          <w:sz w:val="19"/>
          <w:szCs w:val="19"/>
        </w:rPr>
        <w:t xml:space="preserve">Editorial luxury at scale. Take the typography pairing and the willingness to let one image carry a whole section.</w:t>
      </w:r>
    </w:p>
    <w:p>
      <w:pPr>
        <w:spacing w:after="50"/>
      </w:pPr>
      <w:r>
        <w:rPr>
          <w:b/>
          <w:bCs/>
          <w:color w:val="14110D"/>
          <w:sz w:val="19"/>
          <w:szCs w:val="19"/>
        </w:rPr>
        <w:t xml:space="preserve">Synthesis brands (already doing both):</w:t>
      </w:r>
    </w:p>
    <w:p>
      <w:pPr>
        <w:pStyle w:val="ListParagraph"/>
        <w:numPr>
          <w:ilvl w:val="0"/>
          <w:numId w:val="2"/>
        </w:numPr>
        <w:spacing w:after="40"/>
      </w:pPr>
      <w:r>
        <w:rPr>
          <w:b/>
          <w:bCs/>
          <w:color w:val="14110D"/>
          <w:sz w:val="19"/>
          <w:szCs w:val="19"/>
        </w:rPr>
        <w:t xml:space="preserve">Karla Otto. </w:t>
      </w:r>
      <w:r>
        <w:rPr>
          <w:i/>
          <w:iCs/>
          <w:color w:val="8A8278"/>
          <w:sz w:val="17"/>
          <w:szCs w:val="17"/>
        </w:rPr>
        <w:t xml:space="preserve">karlaotto.com  </w:t>
      </w:r>
      <w:r>
        <w:rPr>
          <w:color w:val="14110D"/>
          <w:sz w:val="19"/>
          <w:szCs w:val="19"/>
        </w:rPr>
        <w:t xml:space="preserve">Boutique luxury PR. Closest analog to what P5 should look like. They are a professional services firm whose visual standards match the brands they serve. Study the typography, the palette, and the way they balance authority with aesthetic literacy.</w:t>
      </w:r>
    </w:p>
    <w:p>
      <w:pPr>
        <w:pStyle w:val="ListParagraph"/>
        <w:numPr>
          <w:ilvl w:val="0"/>
          <w:numId w:val="2"/>
        </w:numPr>
        <w:spacing w:after="40"/>
      </w:pPr>
      <w:r>
        <w:rPr>
          <w:b/>
          <w:bCs/>
          <w:color w:val="14110D"/>
          <w:sz w:val="19"/>
          <w:szCs w:val="19"/>
        </w:rPr>
        <w:t xml:space="preserve">KCD Worldwide. </w:t>
      </w:r>
      <w:r>
        <w:rPr>
          <w:i/>
          <w:iCs/>
          <w:color w:val="8A8278"/>
          <w:sz w:val="17"/>
          <w:szCs w:val="17"/>
        </w:rPr>
        <w:t xml:space="preserve">kcdworldwide.com  </w:t>
      </w:r>
      <w:r>
        <w:rPr>
          <w:color w:val="14110D"/>
          <w:sz w:val="19"/>
          <w:szCs w:val="19"/>
        </w:rPr>
        <w:t xml:space="preserve">Same category as Karla Otto. Slightly different execution. Worth comparing.</w:t>
      </w:r>
    </w:p>
    <w:p>
      <w:pPr>
        <w:pStyle w:val="ListParagraph"/>
        <w:numPr>
          <w:ilvl w:val="0"/>
          <w:numId w:val="2"/>
        </w:numPr>
        <w:spacing w:after="40"/>
      </w:pPr>
      <w:r>
        <w:rPr>
          <w:b/>
          <w:bCs/>
          <w:color w:val="14110D"/>
          <w:sz w:val="19"/>
          <w:szCs w:val="19"/>
        </w:rPr>
        <w:t xml:space="preserve">Knight Frank Wealth Report. </w:t>
      </w:r>
      <w:r>
        <w:rPr>
          <w:i/>
          <w:iCs/>
          <w:color w:val="8A8278"/>
          <w:sz w:val="17"/>
          <w:szCs w:val="17"/>
        </w:rPr>
        <w:t xml:space="preserve">knightfrank.com/wealthreport  </w:t>
      </w:r>
      <w:r>
        <w:rPr>
          <w:color w:val="14110D"/>
          <w:sz w:val="19"/>
          <w:szCs w:val="19"/>
        </w:rPr>
        <w:t xml:space="preserve">Luxury real estate authority. Editorial layout, considered typography, premium accent color usage. Take the report-as-marketing pattern (relevant for the benchmark report we discussed earlier).</w:t>
      </w:r>
    </w:p>
    <w:p>
      <w:pPr>
        <w:spacing w:after="60" w:before="160"/>
      </w:pPr>
      <w:r>
        <w:rPr>
          <w:b/>
          <w:bCs/>
          <w:color w:val="3B4E36"/>
          <w:sz w:val="22"/>
          <w:szCs w:val="22"/>
        </w:rPr>
        <w:t xml:space="preserve">TYPOGRAPHY</w:t>
      </w:r>
    </w:p>
    <w:p>
      <w:pPr>
        <w:spacing w:after="50"/>
      </w:pPr>
      <w:r>
        <w:rPr>
          <w:b w:val="false"/>
          <w:bCs w:val="false"/>
          <w:color w:val="14110D"/>
          <w:sz w:val="19"/>
          <w:szCs w:val="19"/>
        </w:rPr>
        <w:t xml:space="preserve">The Klim Type Foundry pairing is the editorial-authority standard right now and fits the synthesis exactly:</w:t>
      </w:r>
    </w:p>
    <w:p>
      <w:pPr>
        <w:pStyle w:val="ListParagraph"/>
        <w:numPr>
          <w:ilvl w:val="0"/>
          <w:numId w:val="2"/>
        </w:numPr>
        <w:spacing w:after="30"/>
      </w:pPr>
      <w:r>
        <w:rPr>
          <w:color w:val="14110D"/>
          <w:sz w:val="19"/>
          <w:szCs w:val="19"/>
        </w:rPr>
        <w:t xml:space="preserve">Display: Tiempos Headline Medium. A transitional serif with editorial weight. Used for hero headlines and section titles.</w:t>
      </w:r>
    </w:p>
    <w:p>
      <w:pPr>
        <w:pStyle w:val="ListParagraph"/>
        <w:numPr>
          <w:ilvl w:val="0"/>
          <w:numId w:val="2"/>
        </w:numPr>
        <w:spacing w:after="30"/>
      </w:pPr>
      <w:r>
        <w:rPr>
          <w:color w:val="14110D"/>
          <w:sz w:val="19"/>
          <w:szCs w:val="19"/>
        </w:rPr>
        <w:t xml:space="preserve">Body: Söhne Buch or Söhne Kraftig. A modern grotesque that reads confident without being clinical.</w:t>
      </w:r>
    </w:p>
    <w:p>
      <w:pPr>
        <w:pStyle w:val="ListParagraph"/>
        <w:numPr>
          <w:ilvl w:val="0"/>
          <w:numId w:val="2"/>
        </w:numPr>
        <w:spacing w:after="30"/>
      </w:pPr>
      <w:r>
        <w:rPr>
          <w:color w:val="14110D"/>
          <w:sz w:val="19"/>
          <w:szCs w:val="19"/>
        </w:rPr>
        <w:t xml:space="preserve">Alternative if Klim licensing is not in budget: GT Sectra (display) + Inter (body). Open-source-adjacent equivalent. Close enough for v1.</w:t>
      </w:r>
    </w:p>
    <w:p>
      <w:pPr>
        <w:spacing w:after="50"/>
      </w:pPr>
      <w:r>
        <w:rPr>
          <w:color w:val="14110D"/>
          <w:sz w:val="19"/>
          <w:szCs w:val="19"/>
        </w:rPr>
        <w:t xml:space="preserve">Type scale (suggested starting point): hero 64-72px, section heads 36-44px, lede 22-24px, body 17-18px, captions 14-15px. Generous line height on body (1.6+). Tight line height on display (1.05-1.1).</w:t>
      </w:r>
    </w:p>
    <w:p>
      <w:pPr>
        <w:spacing w:after="60" w:before="160"/>
      </w:pPr>
      <w:r>
        <w:rPr>
          <w:b/>
          <w:bCs/>
          <w:color w:val="3B4E36"/>
          <w:sz w:val="22"/>
          <w:szCs w:val="22"/>
        </w:rPr>
        <w:t xml:space="preserve">COLOR PALETTE</w:t>
      </w:r>
    </w:p>
    <w:p>
      <w:pPr>
        <w:spacing w:after="50"/>
      </w:pPr>
      <w:r>
        <w:rPr>
          <w:b w:val="false"/>
          <w:bCs w:val="false"/>
          <w:color w:val="14110D"/>
          <w:sz w:val="19"/>
          <w:szCs w:val="19"/>
        </w:rPr>
        <w:t xml:space="preserve">Three primary colors, one accent. No more.</w:t>
      </w:r>
    </w:p>
    <w:p>
      <w:pPr>
        <w:pStyle w:val="ListParagraph"/>
        <w:numPr>
          <w:ilvl w:val="0"/>
          <w:numId w:val="2"/>
        </w:numPr>
        <w:spacing w:after="30"/>
      </w:pPr>
      <w:r>
        <w:rPr>
          <w:color w:val="14110D"/>
          <w:sz w:val="19"/>
          <w:szCs w:val="19"/>
        </w:rPr>
        <w:t xml:space="preserve">Background: warm bone. #F4F0E8 or #F7F3EB. The warmth is critical. Pure white reads clinical.</w:t>
      </w:r>
    </w:p>
    <w:p>
      <w:pPr>
        <w:pStyle w:val="ListParagraph"/>
        <w:numPr>
          <w:ilvl w:val="0"/>
          <w:numId w:val="2"/>
        </w:numPr>
        <w:spacing w:after="30"/>
      </w:pPr>
      <w:r>
        <w:rPr>
          <w:color w:val="14110D"/>
          <w:sz w:val="19"/>
          <w:szCs w:val="19"/>
        </w:rPr>
        <w:t xml:space="preserve">Body ink: near-black with warmth. #14110D. Slightly warmer than pure black, slightly darker than coffee.</w:t>
      </w:r>
    </w:p>
    <w:p>
      <w:pPr>
        <w:pStyle w:val="ListParagraph"/>
        <w:numPr>
          <w:ilvl w:val="0"/>
          <w:numId w:val="2"/>
        </w:numPr>
        <w:spacing w:after="30"/>
      </w:pPr>
      <w:r>
        <w:rPr>
          <w:color w:val="14110D"/>
          <w:sz w:val="19"/>
          <w:szCs w:val="19"/>
        </w:rPr>
        <w:t xml:space="preserve">Accent: muted forest green. #3B4E36. Mature, confident, not trendy. The color of a bound notebook in a boutique advisory office. Used sparingly, mostly for type accents and small UI.</w:t>
      </w:r>
    </w:p>
    <w:p>
      <w:pPr>
        <w:pStyle w:val="ListParagraph"/>
        <w:numPr>
          <w:ilvl w:val="0"/>
          <w:numId w:val="2"/>
        </w:numPr>
        <w:spacing w:after="30"/>
      </w:pPr>
      <w:r>
        <w:rPr>
          <w:color w:val="14110D"/>
          <w:sz w:val="19"/>
          <w:szCs w:val="19"/>
        </w:rPr>
        <w:t xml:space="preserve">Secondary neutral: warm taupe. #6B6358. For captions, secondary text, and subtle dividers.</w:t>
      </w:r>
    </w:p>
    <w:p>
      <w:pPr>
        <w:spacing w:after="50"/>
      </w:pPr>
      <w:r>
        <w:rPr>
          <w:color w:val="14110D"/>
          <w:sz w:val="19"/>
          <w:szCs w:val="19"/>
        </w:rPr>
        <w:t xml:space="preserve">What this is not: any blue, any teal, any chrome, any gradient, any "tech" accent. The current dark site is the opposite of this palette.</w:t>
      </w:r>
    </w:p>
    <w:p>
      <w:pPr>
        <w:spacing w:after="60" w:before="160"/>
      </w:pPr>
      <w:r>
        <w:rPr>
          <w:b/>
          <w:bCs/>
          <w:color w:val="3B4E36"/>
          <w:sz w:val="22"/>
          <w:szCs w:val="22"/>
        </w:rPr>
        <w:t xml:space="preserve">PHOTOGRAPHY</w:t>
      </w:r>
    </w:p>
    <w:p>
      <w:pPr>
        <w:spacing w:after="50"/>
      </w:pPr>
      <w:r>
        <w:rPr>
          <w:color w:val="14110D"/>
          <w:sz w:val="19"/>
          <w:szCs w:val="19"/>
        </w:rPr>
        <w:t xml:space="preserve">Editorial, not commercial. Considered, not staged. The site can ship with zero photography in v1 and still feel finished if the typography is right. When imagery comes in:</w:t>
      </w:r>
    </w:p>
    <w:p>
      <w:pPr>
        <w:pStyle w:val="ListParagraph"/>
        <w:numPr>
          <w:ilvl w:val="0"/>
          <w:numId w:val="2"/>
        </w:numPr>
        <w:spacing w:after="30"/>
      </w:pPr>
      <w:r>
        <w:rPr>
          <w:color w:val="14110D"/>
          <w:sz w:val="19"/>
          <w:szCs w:val="19"/>
        </w:rPr>
        <w:t xml:space="preserve">Interior environments (clinic spaces, the firm's workspace, considered detail shots).</w:t>
      </w:r>
    </w:p>
    <w:p>
      <w:pPr>
        <w:pStyle w:val="ListParagraph"/>
        <w:numPr>
          <w:ilvl w:val="0"/>
          <w:numId w:val="2"/>
        </w:numPr>
        <w:spacing w:after="30"/>
      </w:pPr>
      <w:r>
        <w:rPr>
          <w:color w:val="14110D"/>
          <w:sz w:val="19"/>
          <w:szCs w:val="19"/>
        </w:rPr>
        <w:t xml:space="preserve">Portrait photography of the P5 team, shot editorially. Not the boilerplate headshot. Think a magazine portrait.</w:t>
      </w:r>
    </w:p>
    <w:p>
      <w:pPr>
        <w:pStyle w:val="ListParagraph"/>
        <w:numPr>
          <w:ilvl w:val="0"/>
          <w:numId w:val="2"/>
        </w:numPr>
        <w:spacing w:after="30"/>
      </w:pPr>
      <w:r>
        <w:rPr>
          <w:color w:val="14110D"/>
          <w:sz w:val="19"/>
          <w:szCs w:val="19"/>
        </w:rPr>
        <w:t xml:space="preserve">Material and texture close-ups when an image needs to break up text but no specific subject is required.</w:t>
      </w:r>
    </w:p>
    <w:p>
      <w:pPr>
        <w:pStyle w:val="ListParagraph"/>
        <w:numPr>
          <w:ilvl w:val="0"/>
          <w:numId w:val="2"/>
        </w:numPr>
        <w:spacing w:after="30"/>
      </w:pPr>
      <w:r>
        <w:rPr>
          <w:color w:val="14110D"/>
          <w:sz w:val="19"/>
          <w:szCs w:val="19"/>
        </w:rPr>
        <w:t xml:space="preserve">All imagery shot or commissioned, not stock.</w:t>
      </w:r>
    </w:p>
    <w:p>
      <w:pPr>
        <w:spacing w:after="50"/>
      </w:pPr>
      <w:r>
        <w:rPr>
          <w:color w:val="14110D"/>
          <w:sz w:val="19"/>
          <w:szCs w:val="19"/>
        </w:rPr>
        <w:t xml:space="preserve">Explicitly avoid: stock medical (scrubs, surgical settings, hands in gloves), stock business (handshakes, conference rooms, suits), stock aesthetic medicine (procedures, before/after, faces), stock tech (data visualizations, dashboards on screens).</w:t>
      </w:r>
    </w:p>
    <w:p>
      <w:pPr>
        <w:spacing w:after="60" w:before="160"/>
      </w:pPr>
      <w:r>
        <w:rPr>
          <w:b/>
          <w:bCs/>
          <w:color w:val="3B4E36"/>
          <w:sz w:val="22"/>
          <w:szCs w:val="22"/>
        </w:rPr>
        <w:t xml:space="preserve">LAYOUT PATTERNS</w:t>
      </w:r>
    </w:p>
    <w:p>
      <w:pPr>
        <w:pStyle w:val="ListParagraph"/>
        <w:numPr>
          <w:ilvl w:val="0"/>
          <w:numId w:val="2"/>
        </w:numPr>
        <w:spacing w:after="30"/>
      </w:pPr>
      <w:r>
        <w:rPr>
          <w:color w:val="14110D"/>
          <w:sz w:val="19"/>
          <w:szCs w:val="19"/>
        </w:rPr>
        <w:t xml:space="preserve">12-column grid with generous gutters. Most content lives in 6-8 columns of that grid.</w:t>
      </w:r>
    </w:p>
    <w:p>
      <w:pPr>
        <w:pStyle w:val="ListParagraph"/>
        <w:numPr>
          <w:ilvl w:val="0"/>
          <w:numId w:val="2"/>
        </w:numPr>
        <w:spacing w:after="30"/>
      </w:pPr>
      <w:r>
        <w:rPr>
          <w:color w:val="14110D"/>
          <w:sz w:val="19"/>
          <w:szCs w:val="19"/>
        </w:rPr>
        <w:t xml:space="preserve">Type-first hero treatments. The hero of every primary page should let typography dominate. If imagery appears, it appears below the fold.</w:t>
      </w:r>
    </w:p>
    <w:p>
      <w:pPr>
        <w:pStyle w:val="ListParagraph"/>
        <w:numPr>
          <w:ilvl w:val="0"/>
          <w:numId w:val="2"/>
        </w:numPr>
        <w:spacing w:after="30"/>
      </w:pPr>
      <w:r>
        <w:rPr>
          <w:color w:val="14110D"/>
          <w:sz w:val="19"/>
          <w:szCs w:val="19"/>
        </w:rPr>
        <w:t xml:space="preserve">One key idea per section. Resist the urge to put two columns of features next to each other.</w:t>
      </w:r>
    </w:p>
    <w:p>
      <w:pPr>
        <w:pStyle w:val="ListParagraph"/>
        <w:numPr>
          <w:ilvl w:val="0"/>
          <w:numId w:val="2"/>
        </w:numPr>
        <w:spacing w:after="30"/>
      </w:pPr>
      <w:r>
        <w:rPr>
          <w:color w:val="14110D"/>
          <w:sz w:val="19"/>
          <w:szCs w:val="19"/>
        </w:rPr>
        <w:t xml:space="preserve">Whitespace beyond what feels comfortable. The aesthetic medicine eye reads abundance of space as luxury.</w:t>
      </w:r>
    </w:p>
    <w:p>
      <w:pPr>
        <w:pStyle w:val="ListParagraph"/>
        <w:numPr>
          <w:ilvl w:val="0"/>
          <w:numId w:val="2"/>
        </w:numPr>
        <w:spacing w:after="30"/>
      </w:pPr>
      <w:r>
        <w:rPr>
          <w:color w:val="14110D"/>
          <w:sz w:val="19"/>
          <w:szCs w:val="19"/>
        </w:rPr>
        <w:t xml:space="preserve">Footer as a destination, not an afterthought. Use the footer for the report opt-in, contact line, and a quiet manifesto sentence.</w:t>
      </w:r>
    </w:p>
    <w:p>
      <w:pPr>
        <w:spacing w:after="60" w:before="160"/>
      </w:pPr>
      <w:r>
        <w:rPr>
          <w:b/>
          <w:bCs/>
          <w:color w:val="3B4E36"/>
          <w:sz w:val="22"/>
          <w:szCs w:val="22"/>
        </w:rPr>
        <w:t xml:space="preserve">VOICE (VISUAL)</w:t>
      </w:r>
    </w:p>
    <w:p>
      <w:pPr>
        <w:spacing w:after="50"/>
      </w:pPr>
      <w:r>
        <w:rPr>
          <w:color w:val="14110D"/>
          <w:sz w:val="19"/>
          <w:szCs w:val="19"/>
        </w:rPr>
        <w:t xml:space="preserve">The visual should reinforce the copy voice already established: confident, direct, no hedging, pragmatic. That means: no animated decoration, no gradient overlays, no "clever" interactions, no parallax. Restraint is the visual equivalent of "we are not trying to convince you." The site should look like it could be printed and still work.</w:t>
      </w:r>
    </w:p>
    <w:p>
      <w:pPr>
        <w:spacing w:after="60" w:before="160"/>
      </w:pPr>
      <w:r>
        <w:rPr>
          <w:b/>
          <w:bCs/>
          <w:color w:val="3B4E36"/>
          <w:sz w:val="22"/>
          <w:szCs w:val="22"/>
        </w:rPr>
        <w:t xml:space="preserve">DO NOT DO (AESTHETIC MEDICINE CONTEXT)</w:t>
      </w:r>
    </w:p>
    <w:p>
      <w:pPr>
        <w:pStyle w:val="ListParagraph"/>
        <w:numPr>
          <w:ilvl w:val="0"/>
          <w:numId w:val="2"/>
        </w:numPr>
        <w:spacing w:after="30"/>
      </w:pPr>
      <w:r>
        <w:rPr>
          <w:color w:val="14110D"/>
          <w:sz w:val="19"/>
          <w:szCs w:val="19"/>
        </w:rPr>
        <w:t xml:space="preserve">No scrubs, no surgical imagery, no medical iconography.</w:t>
      </w:r>
    </w:p>
    <w:p>
      <w:pPr>
        <w:pStyle w:val="ListParagraph"/>
        <w:numPr>
          <w:ilvl w:val="0"/>
          <w:numId w:val="2"/>
        </w:numPr>
        <w:spacing w:after="30"/>
      </w:pPr>
      <w:r>
        <w:rPr>
          <w:color w:val="14110D"/>
          <w:sz w:val="19"/>
          <w:szCs w:val="19"/>
        </w:rPr>
        <w:t xml:space="preserve">No before/after photography anywhere on P5's own site. (That's the client's terrain, not P5's.)</w:t>
      </w:r>
    </w:p>
    <w:p>
      <w:pPr>
        <w:pStyle w:val="ListParagraph"/>
        <w:numPr>
          <w:ilvl w:val="0"/>
          <w:numId w:val="2"/>
        </w:numPr>
        <w:spacing w:after="30"/>
      </w:pPr>
      <w:r>
        <w:rPr>
          <w:color w:val="14110D"/>
          <w:sz w:val="19"/>
          <w:szCs w:val="19"/>
        </w:rPr>
        <w:t xml:space="preserve">No patient-facing language. Every line on the site speaks to the practice owner, not the patient.</w:t>
      </w:r>
    </w:p>
    <w:p>
      <w:pPr>
        <w:pStyle w:val="ListParagraph"/>
        <w:numPr>
          <w:ilvl w:val="0"/>
          <w:numId w:val="2"/>
        </w:numPr>
        <w:spacing w:after="30"/>
      </w:pPr>
      <w:r>
        <w:rPr>
          <w:color w:val="14110D"/>
          <w:sz w:val="19"/>
          <w:szCs w:val="19"/>
        </w:rPr>
        <w:t xml:space="preserve">No dashboard screenshots in the hero. Visibility/measurement is a proof point on an interior page, not the headline.</w:t>
      </w:r>
    </w:p>
    <w:p>
      <w:pPr>
        <w:pStyle w:val="ListParagraph"/>
        <w:numPr>
          <w:ilvl w:val="0"/>
          <w:numId w:val="2"/>
        </w:numPr>
        <w:spacing w:after="30"/>
      </w:pPr>
      <w:r>
        <w:rPr>
          <w:color w:val="14110D"/>
          <w:sz w:val="19"/>
          <w:szCs w:val="19"/>
        </w:rPr>
        <w:t xml:space="preserve">No specific procedure or condition references anywhere. (Healthcare privacy plus brand discipline.)</w:t>
      </w:r>
    </w:p>
    <w:p>
      <w:pPr>
        <w:pStyle w:val="ListParagraph"/>
        <w:numPr>
          <w:ilvl w:val="0"/>
          <w:numId w:val="2"/>
        </w:numPr>
        <w:spacing w:after="30"/>
      </w:pPr>
      <w:r>
        <w:rPr>
          <w:color w:val="14110D"/>
          <w:sz w:val="19"/>
          <w:szCs w:val="19"/>
        </w:rPr>
        <w:t xml:space="preserve">No "trusted by" logo strip of practices unless you have explicit, written permission. In this category logo strips are sensitive.</w:t>
      </w:r>
    </w:p>
    <w:p>
      <w:pPr>
        <w:spacing w:after="60" w:before="160"/>
      </w:pPr>
      <w:r>
        <w:rPr>
          <w:b/>
          <w:bCs/>
          <w:color w:val="3B4E36"/>
          <w:sz w:val="22"/>
          <w:szCs w:val="22"/>
        </w:rPr>
        <w:t xml:space="preserve">BUILD RECOMMENDATION</w:t>
      </w:r>
    </w:p>
    <w:p>
      <w:pPr>
        <w:spacing w:after="50"/>
      </w:pPr>
      <w:r>
        <w:rPr>
          <w:color w:val="14110D"/>
          <w:sz w:val="19"/>
          <w:szCs w:val="19"/>
        </w:rPr>
        <w:t xml:space="preserve">Next.js 14 (App Router) plus Tailwind CSS plus shadcn/ui, deployed to Vercel. Reasons: the operator already runs other Next.js client automation apps on Vercel, so this site fits the existing pattern and stack rather than introducing a new platform. Components built here can be reused later for client microsites under the same architecture. Tailwind makes the palette and typography decisions from this brief express directly as theme tokens. next/font handles GT Sectra + Inter (free pairing) or Tiempos + Söhne (licensed Klim pairing) cleanly. The code-first stack also gives the LLM-as-designer a more direct iteration loop (paste prompt, get full component, deploy) than a visual editor would.</w:t>
      </w:r>
    </w:p>
    <w:p>
      <w:pPr>
        <w:spacing w:after="60" w:before="160"/>
      </w:pPr>
      <w:r>
        <w:rPr>
          <w:b/>
          <w:bCs/>
          <w:color w:val="3B4E36"/>
          <w:sz w:val="22"/>
          <w:szCs w:val="22"/>
        </w:rPr>
        <w:t xml:space="preserve">NEXT MOVES</w:t>
      </w:r>
    </w:p>
    <w:p>
      <w:pPr>
        <w:pStyle w:val="ListParagraph"/>
        <w:numPr>
          <w:ilvl w:val="0"/>
          <w:numId w:val="2"/>
        </w:numPr>
        <w:spacing w:after="30"/>
      </w:pPr>
      <w:r>
        <w:rPr>
          <w:color w:val="14110D"/>
          <w:sz w:val="19"/>
          <w:szCs w:val="19"/>
        </w:rPr>
        <w:t xml:space="preserve">You react to this brief and any items get adjusted.</w:t>
      </w:r>
    </w:p>
    <w:p>
      <w:pPr>
        <w:pStyle w:val="ListParagraph"/>
        <w:numPr>
          <w:ilvl w:val="0"/>
          <w:numId w:val="2"/>
        </w:numPr>
        <w:spacing w:after="30"/>
      </w:pPr>
      <w:r>
        <w:rPr>
          <w:color w:val="14110D"/>
          <w:sz w:val="19"/>
          <w:szCs w:val="19"/>
        </w:rPr>
        <w:t xml:space="preserve">Once locked, the brief becomes the master prompt for whatever LLM you use to build the site. Hand it to the LLM verbatim, then iterate.</w:t>
      </w:r>
    </w:p>
    <w:p>
      <w:pPr>
        <w:pStyle w:val="ListParagraph"/>
        <w:numPr>
          <w:ilvl w:val="0"/>
          <w:numId w:val="2"/>
        </w:numPr>
        <w:spacing w:after="30"/>
      </w:pPr>
      <w:r>
        <w:rPr>
          <w:color w:val="14110D"/>
          <w:sz w:val="19"/>
          <w:szCs w:val="19"/>
        </w:rPr>
        <w:t xml:space="preserve">Parallel track: license Tiempos Headline and Söhne (or commit to GT Sectra + Inter for v1), pick one of the two background shades (#F4F0E8 or #F7F3EB), and lock the accent green (#3B4E36).</w:t>
      </w:r>
    </w:p>
    <w:p>
      <w:pPr>
        <w:pStyle w:val="ListParagraph"/>
        <w:numPr>
          <w:ilvl w:val="0"/>
          <w:numId w:val="2"/>
        </w:numPr>
        <w:spacing w:after="30"/>
      </w:pPr>
      <w:r>
        <w:rPr>
          <w:color w:val="14110D"/>
          <w:sz w:val="19"/>
          <w:szCs w:val="19"/>
        </w:rPr>
        <w:t xml:space="preserve">Spin up a new Next.js 14 + Tailwind project on Vercel using the same pattern as the existing client automation apps. The LLM-built homepage spec drops in as the first deliverable.</w:t>
      </w:r>
    </w:p>
    <w:p>
      <w:pPr>
        <w:pStyle w:val="ListParagraph"/>
        <w:numPr>
          <w:ilvl w:val="0"/>
          <w:numId w:val="2"/>
        </w:numPr>
        <w:spacing w:after="30"/>
      </w:pPr>
      <w:r>
        <w:rPr>
          <w:color w:val="14110D"/>
          <w:sz w:val="19"/>
          <w:szCs w:val="19"/>
        </w:rPr>
        <w:t xml:space="preserve">When the site v1 is up, the wordmark question comes back. The brief above is enough direction to make the next round of wordmark exploration land in the right zone.</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2026-05-22T20:33:53.247Z</dcterms:created>
  <dcterms:modified xsi:type="dcterms:W3CDTF">2026-05-22T20:33:53.247Z</dcterms:modified>
</cp:coreProperties>
</file>

<file path=docProps/custom.xml><?xml version="1.0" encoding="utf-8"?>
<Properties xmlns="http://schemas.openxmlformats.org/officeDocument/2006/custom-properties" xmlns:vt="http://schemas.openxmlformats.org/officeDocument/2006/docPropsVTypes"/>
</file>