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испытаний Ni30Cu — aging</w:t>
      </w:r>
    </w:p>
    <w:p>
      <w:r>
        <w:t>Материал Ni30Cu обработан по режиму aging при 700 C в течение 8 ч (атмосфера: air).</w:t>
      </w:r>
    </w:p>
    <w:p>
      <w:r>
        <w:t>Свойство Vickers hardness измерено методом HV10: базовое значение 210 HV, после обработки 246 HV (increase).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База</w:t>
            </w:r>
          </w:p>
        </w:tc>
        <w:tc>
          <w:tcPr>
            <w:tcW w:type="dxa" w:w="2160"/>
          </w:tcPr>
          <w:p>
            <w:r>
              <w:t>После</w:t>
            </w:r>
          </w:p>
        </w:tc>
        <w:tc>
          <w:tcPr>
            <w:tcW w:type="dxa" w:w="2160"/>
          </w:tcPr>
          <w:p>
            <w:r>
              <w:t>Метод</w:t>
            </w:r>
          </w:p>
        </w:tc>
      </w:tr>
      <w:tr>
        <w:tc>
          <w:tcPr>
            <w:tcW w:type="dxa" w:w="2160"/>
          </w:tcPr>
          <w:p>
            <w:r>
              <w:t>Vickers hardness</w:t>
            </w:r>
          </w:p>
        </w:tc>
        <w:tc>
          <w:tcPr>
            <w:tcW w:type="dxa" w:w="2160"/>
          </w:tcPr>
          <w:p>
            <w:r>
              <w:t>210 HV</w:t>
            </w:r>
          </w:p>
        </w:tc>
        <w:tc>
          <w:tcPr>
            <w:tcW w:type="dxa" w:w="2160"/>
          </w:tcPr>
          <w:p>
            <w:r>
              <w:t>246 HV</w:t>
            </w:r>
          </w:p>
        </w:tc>
        <w:tc>
          <w:tcPr>
            <w:tcW w:type="dxa" w:w="2160"/>
          </w:tcPr>
          <w:p>
            <w:r>
              <w:t>HV10</w:t>
            </w:r>
          </w:p>
        </w:tc>
      </w:tr>
    </w:tbl>
    <w:p>
      <w:r>
        <w:t>Работы выполнила Synthetic metallurgy team на установке Demo resistance furnace.</w:t>
      </w:r>
    </w:p>
    <w:p>
      <w:r>
        <w:t>Дата заключения: 2024-09-12.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