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МН30 — annealing</w:t>
      </w:r>
    </w:p>
    <w:p>
      <w:r>
        <w:t>Материал МН30 обработан по режиму annealing при 850 C в течение 2 ч (атмосфера: argon).</w:t>
      </w:r>
    </w:p>
    <w:p>
      <w:r>
        <w:t>Свойство Elongation измерено методом ISO 6892: базовое значение 28 %, после обработки 41 % (increase).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Elongation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41 %</w:t>
            </w:r>
          </w:p>
        </w:tc>
        <w:tc>
          <w:tcPr>
            <w:tcW w:type="dxa" w:w="2160"/>
          </w:tcPr>
          <w:p>
            <w:r>
              <w:t>ISO 6892</w:t>
            </w:r>
          </w:p>
        </w:tc>
      </w:tr>
    </w:tbl>
    <w:p>
      <w:r>
        <w:t>Работы выполнила Synthetic metallurgy team на установке Demo resistance furnace.</w:t>
      </w:r>
    </w:p>
    <w:p>
      <w:r>
        <w:t>Дата заключения: 2024-11-05.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