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испытаний CuNi30 — annealing</w:t>
      </w:r>
    </w:p>
    <w:p>
      <w:r>
        <w:t>Материал CuNi30 обработан по режиму annealing при 850 C в течение 2 ч (атмосфера: argon).</w:t>
      </w:r>
    </w:p>
    <w:p>
      <w:r>
        <w:t>Свойство Elongation измерено методом ISO 6892: базовое значение 39 %, после обработки 27 % (decrease).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Метод</w:t>
            </w:r>
          </w:p>
        </w:tc>
      </w:tr>
      <w:tr>
        <w:tc>
          <w:tcPr>
            <w:tcW w:type="dxa" w:w="2160"/>
          </w:tcPr>
          <w:p>
            <w:r>
              <w:t>Elongation</w:t>
            </w:r>
          </w:p>
        </w:tc>
        <w:tc>
          <w:tcPr>
            <w:tcW w:type="dxa" w:w="2160"/>
          </w:tcPr>
          <w:p>
            <w:r>
              <w:t>39 %</w:t>
            </w:r>
          </w:p>
        </w:tc>
        <w:tc>
          <w:tcPr>
            <w:tcW w:type="dxa" w:w="2160"/>
          </w:tcPr>
          <w:p>
            <w:r>
              <w:t>27 %</w:t>
            </w:r>
          </w:p>
        </w:tc>
        <w:tc>
          <w:tcPr>
            <w:tcW w:type="dxa" w:w="2160"/>
          </w:tcPr>
          <w:p>
            <w:r>
              <w:t>ISO 6892</w:t>
            </w:r>
          </w:p>
        </w:tc>
      </w:tr>
    </w:tbl>
    <w:p>
      <w:r>
        <w:t>Работы выполнила Synthetic corrosion team на установке Demo resistance furnace.</w:t>
      </w:r>
    </w:p>
    <w:p>
      <w:r>
        <w:t>Дата заключения: 2025-01-20.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