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испытаний Ni-30Cu — solution_treatment</w:t>
      </w:r>
    </w:p>
    <w:p>
      <w:r>
        <w:t>Материал Ni-30Cu обработан по режиму solution_treatment при 980 C в течение 1 ч (атмосфера: vacuum).</w:t>
      </w:r>
    </w:p>
    <w:p>
      <w:r>
        <w:t>Свойство Grain size измерено методом ASTM E112: базовое значение 45 um, после обработки 12 um (decrease).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База</w:t>
            </w:r>
          </w:p>
        </w:tc>
        <w:tc>
          <w:tcPr>
            <w:tcW w:type="dxa" w:w="2160"/>
          </w:tcPr>
          <w:p>
            <w:r>
              <w:t>После</w:t>
            </w:r>
          </w:p>
        </w:tc>
        <w:tc>
          <w:tcPr>
            <w:tcW w:type="dxa" w:w="2160"/>
          </w:tcPr>
          <w:p>
            <w:r>
              <w:t>Метод</w:t>
            </w:r>
          </w:p>
        </w:tc>
      </w:tr>
      <w:tr>
        <w:tc>
          <w:tcPr>
            <w:tcW w:type="dxa" w:w="2160"/>
          </w:tcPr>
          <w:p>
            <w:r>
              <w:t>Grain size</w:t>
            </w:r>
          </w:p>
        </w:tc>
        <w:tc>
          <w:tcPr>
            <w:tcW w:type="dxa" w:w="2160"/>
          </w:tcPr>
          <w:p>
            <w:r>
              <w:t>45 um</w:t>
            </w:r>
          </w:p>
        </w:tc>
        <w:tc>
          <w:tcPr>
            <w:tcW w:type="dxa" w:w="2160"/>
          </w:tcPr>
          <w:p>
            <w:r>
              <w:t>12 um</w:t>
            </w:r>
          </w:p>
        </w:tc>
        <w:tc>
          <w:tcPr>
            <w:tcW w:type="dxa" w:w="2160"/>
          </w:tcPr>
          <w:p>
            <w:r>
              <w:t>ASTM E112</w:t>
            </w:r>
          </w:p>
        </w:tc>
      </w:tr>
    </w:tbl>
    <w:p>
      <w:r>
        <w:t>Работы выполнила Synthetic metallurgy team на установке Demo SEM.</w:t>
      </w:r>
    </w:p>
    <w:p>
      <w:r>
        <w:t>Дата заключения: 2025-03-03.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