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Handoff: Current State and Next Steps</w:t>
      </w:r>
    </w:p>
    <w:p>
      <w:pPr>
        <w:pStyle w:val="Subtitle"/>
      </w:pPr>
      <w:r>
        <w:t>Execution-oriented handoff for continuing the abbreviation-resolution project after T016</w:t>
      </w:r>
    </w:p>
    <w:tbl>
      <w:tblPr>
        <w:tblW w:type="auto" w:w="0"/>
        <w:jc w:val="left"/>
        <w:tblLayout w:type="fixed"/>
        <w:tblLook w:firstColumn="1" w:firstRow="1" w:lastColumn="0" w:lastRow="0" w:noHBand="0" w:noVBand="1" w:val="04A0"/>
      </w:tblPr>
      <w:tblGrid>
        <w:gridCol w:w="3293"/>
        <w:gridCol w:w="3293"/>
        <w:gridCol w:w="3293"/>
      </w:tblGrid>
      <w:tr>
        <w:tc>
          <w:tcPr>
            <w:tcW w:type="dxa" w:w="2880"/>
            <w:shd w:fill="EAF2F7"/>
            <w:tcMar>
              <w:top w:w="100" w:type="dxa"/>
              <w:start w:w="120" w:type="dxa"/>
              <w:bottom w:w="100" w:type="dxa"/>
              <w:end w:w="120" w:type="dxa"/>
            </w:tcMar>
          </w:tcPr>
          <w:p>
            <w:r>
              <w:rPr>
                <w:b/>
                <w:color w:val="2F5D7C"/>
                <w:sz w:val="16"/>
              </w:rPr>
              <w:t>STATUS</w:t>
              <w:br/>
            </w:r>
            <w:r>
              <w:rPr>
                <w:color w:val="1D252C"/>
                <w:sz w:val="19"/>
              </w:rPr>
              <w:t>Working project brief</w:t>
            </w:r>
          </w:p>
        </w:tc>
        <w:tc>
          <w:tcPr>
            <w:tcW w:type="dxa" w:w="3384"/>
            <w:shd w:fill="EAF2F7"/>
            <w:tcMar>
              <w:top w:w="100" w:type="dxa"/>
              <w:start w:w="120" w:type="dxa"/>
              <w:bottom w:w="100" w:type="dxa"/>
              <w:end w:w="120" w:type="dxa"/>
            </w:tcMar>
          </w:tcPr>
          <w:p>
            <w:r>
              <w:rPr>
                <w:b/>
                <w:color w:val="2F5D7C"/>
                <w:sz w:val="16"/>
              </w:rPr>
              <w:t>PREPARED</w:t>
              <w:br/>
            </w:r>
            <w:r>
              <w:rPr>
                <w:color w:val="1D252C"/>
                <w:sz w:val="19"/>
              </w:rPr>
              <w:t>September 6, 2026</w:t>
            </w:r>
          </w:p>
        </w:tc>
        <w:tc>
          <w:tcPr>
            <w:tcW w:type="dxa" w:w="3384"/>
            <w:shd w:fill="EAF2F7"/>
            <w:tcMar>
              <w:top w:w="100" w:type="dxa"/>
              <w:start w:w="120" w:type="dxa"/>
              <w:bottom w:w="100" w:type="dxa"/>
              <w:end w:w="120" w:type="dxa"/>
            </w:tcMar>
          </w:tcPr>
          <w:p>
            <w:r>
              <w:rPr>
                <w:b/>
                <w:color w:val="2F5D7C"/>
                <w:sz w:val="16"/>
              </w:rPr>
              <w:t>AUDIENCE</w:t>
              <w:br/>
            </w:r>
            <w:r>
              <w:rPr>
                <w:color w:val="1D252C"/>
                <w:sz w:val="19"/>
              </w:rPr>
              <w:t>Project collaborator / GPT-6 Astra</w:t>
            </w:r>
          </w:p>
        </w:tc>
      </w:tr>
    </w:tbl>
    <w:p/>
    <w:tbl>
      <w:tblPr>
        <w:tblW w:type="auto" w:w="0"/>
        <w:jc w:val="center"/>
        <w:tblLayout w:type="autofit"/>
        <w:tblLook w:firstColumn="1" w:firstRow="1" w:lastColumn="0" w:lastRow="0" w:noHBand="0" w:noVBand="1" w:val="04A0"/>
      </w:tblPr>
      <w:tblGrid>
        <w:gridCol w:w="9878"/>
      </w:tblGrid>
      <w:tr>
        <w:tc>
          <w:tcPr>
            <w:tcW w:type="dxa" w:w="9878"/>
            <w:shd w:fill="EAF2F7"/>
            <w:tcMar>
              <w:top w:w="150" w:type="dxa"/>
              <w:start w:w="180" w:type="dxa"/>
              <w:bottom w:w="150" w:type="dxa"/>
              <w:end w:w="180" w:type="dxa"/>
            </w:tcMar>
          </w:tcPr>
          <w:p>
            <w:pPr>
              <w:pStyle w:val="Callout"/>
            </w:pPr>
            <w:r>
              <w:rPr>
                <w:b/>
              </w:rPr>
              <w:t xml:space="preserve">Recommended sequence: </w:t>
            </w:r>
            <w:r>
              <w:t>The immediate priority is to move from a well-tested framework to a demonstrably runnable end-to-end system with real dependencies and real data. Once that works, integrate PLODv2, turn the 2024 abbreviation-frequency data into both a resource and a sampling tool, build a contemporary evaluation subset, and only then optimize hybrid resolution.</w:t>
            </w:r>
          </w:p>
        </w:tc>
      </w:tr>
    </w:tbl>
    <w:p>
      <w:pPr>
        <w:spacing w:after="0"/>
      </w:pPr>
    </w:p>
    <w:p>
      <w:pPr>
        <w:pStyle w:val="Heading1"/>
      </w:pPr>
      <w:r>
        <w:t>1. Where the project stands</w:t>
      </w:r>
    </w:p>
    <w:p>
      <w:r>
        <w:t>The infrastructure phase is substantially advanced. Recent work has concentrated on making the repository testable, reproducible, and able to host multiple corpora and resolvers. The next phase should deliberately shift from framework construction toward real execution, empirical comparison, and error-driven iteration.</w:t>
      </w:r>
    </w:p>
    <w:p>
      <w:pPr>
        <w:pStyle w:val="Heading2"/>
      </w:pPr>
      <w:r>
        <w:t>1.1 Implemented / recently verified capabilities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520"/>
            <w:shd w:fill="18324A"/>
            <w:tcMar>
              <w:top w:w="100" w:type="dxa"/>
              <w:start w:w="120" w:type="dxa"/>
              <w:bottom w:w="100" w:type="dxa"/>
              <w:end w:w="120" w:type="dxa"/>
            </w:tcMar>
          </w:tcPr>
          <w:p>
            <w:r>
              <w:rPr>
                <w:b/>
                <w:color w:val="FFFFFF"/>
                <w:sz w:val="19"/>
              </w:rPr>
              <w:t>Item</w:t>
            </w:r>
          </w:p>
        </w:tc>
        <w:tc>
          <w:tcPr>
            <w:tcW w:type="dxa" w:w="7632"/>
            <w:shd w:fill="18324A"/>
            <w:tcMar>
              <w:top w:w="100" w:type="dxa"/>
              <w:start w:w="120" w:type="dxa"/>
              <w:bottom w:w="100" w:type="dxa"/>
              <w:end w:w="120" w:type="dxa"/>
            </w:tcMar>
          </w:tcPr>
          <w:p>
            <w:r>
              <w:rPr>
                <w:b/>
                <w:color w:val="FFFFFF"/>
                <w:sz w:val="19"/>
              </w:rPr>
              <w:t>Description</w:t>
            </w:r>
          </w:p>
        </w:tc>
      </w:tr>
      <w:tr>
        <w:tc>
          <w:tcPr>
            <w:tcW w:type="dxa" w:w="2520"/>
            <w:vAlign w:val="top"/>
            <w:tcMar>
              <w:top w:w="100" w:type="dxa"/>
              <w:start w:w="120" w:type="dxa"/>
              <w:bottom w:w="100" w:type="dxa"/>
              <w:end w:w="120" w:type="dxa"/>
            </w:tcMar>
          </w:tcPr>
          <w:p>
            <w:pPr>
              <w:spacing w:after="0"/>
            </w:pPr>
            <w:r>
              <w:rPr>
                <w:b/>
                <w:sz w:val="18"/>
              </w:rPr>
              <w:t>Core algorithm fixes</w:t>
            </w:r>
          </w:p>
        </w:tc>
        <w:tc>
          <w:tcPr>
            <w:tcW w:type="dxa" w:w="7632"/>
            <w:vAlign w:val="top"/>
            <w:tcMar>
              <w:top w:w="100" w:type="dxa"/>
              <w:start w:w="120" w:type="dxa"/>
              <w:bottom w:w="100" w:type="dxa"/>
              <w:end w:w="120" w:type="dxa"/>
            </w:tcMar>
          </w:tcPr>
          <w:p>
            <w:pPr>
              <w:spacing w:after="0"/>
            </w:pPr>
            <w:r>
              <w:rPr>
                <w:sz w:val="18"/>
              </w:rPr>
              <w:t>Schwartz–Hearst alignment and candidate-window behavior were corrected during repository review.</w:t>
            </w:r>
          </w:p>
        </w:tc>
      </w:tr>
      <w:tr>
        <w:tc>
          <w:tcPr>
            <w:tcW w:type="dxa" w:w="2520"/>
            <w:vAlign w:val="top"/>
            <w:tcMar>
              <w:top w:w="100" w:type="dxa"/>
              <w:start w:w="120" w:type="dxa"/>
              <w:bottom w:w="100" w:type="dxa"/>
              <w:end w:w="120" w:type="dxa"/>
            </w:tcMar>
            <w:shd w:fill="F3F5F7"/>
          </w:tcPr>
          <w:p>
            <w:pPr>
              <w:spacing w:after="0"/>
            </w:pPr>
            <w:r>
              <w:rPr>
                <w:b/>
                <w:sz w:val="18"/>
              </w:rPr>
              <w:t>Experiment identity</w:t>
            </w:r>
          </w:p>
        </w:tc>
        <w:tc>
          <w:tcPr>
            <w:tcW w:type="dxa" w:w="7632"/>
            <w:vAlign w:val="top"/>
            <w:tcMar>
              <w:top w:w="100" w:type="dxa"/>
              <w:start w:w="120" w:type="dxa"/>
              <w:bottom w:w="100" w:type="dxa"/>
              <w:end w:w="120" w:type="dxa"/>
            </w:tcMar>
            <w:shd w:fill="F3F5F7"/>
          </w:tcPr>
          <w:p>
            <w:pPr>
              <w:spacing w:after="0"/>
            </w:pPr>
            <w:r>
              <w:rPr>
                <w:sz w:val="18"/>
              </w:rPr>
              <w:t>Prediction-cache identity and experiment-run identity were separated; learned-model SHA-256 identity was added to caching.</w:t>
            </w:r>
          </w:p>
        </w:tc>
      </w:tr>
      <w:tr>
        <w:tc>
          <w:tcPr>
            <w:tcW w:type="dxa" w:w="2520"/>
            <w:vAlign w:val="top"/>
            <w:tcMar>
              <w:top w:w="100" w:type="dxa"/>
              <w:start w:w="120" w:type="dxa"/>
              <w:bottom w:w="100" w:type="dxa"/>
              <w:end w:w="120" w:type="dxa"/>
            </w:tcMar>
          </w:tcPr>
          <w:p>
            <w:pPr>
              <w:spacing w:after="0"/>
            </w:pPr>
            <w:r>
              <w:rPr>
                <w:b/>
                <w:sz w:val="18"/>
              </w:rPr>
              <w:t>Corpus support</w:t>
            </w:r>
          </w:p>
        </w:tc>
        <w:tc>
          <w:tcPr>
            <w:tcW w:type="dxa" w:w="7632"/>
            <w:vAlign w:val="top"/>
            <w:tcMar>
              <w:top w:w="100" w:type="dxa"/>
              <w:start w:w="120" w:type="dxa"/>
              <w:bottom w:w="100" w:type="dxa"/>
              <w:end w:w="120" w:type="dxa"/>
            </w:tcMar>
          </w:tcPr>
          <w:p>
            <w:pPr>
              <w:spacing w:after="0"/>
            </w:pPr>
            <w:r>
              <w:rPr>
                <w:sz w:val="18"/>
              </w:rPr>
              <w:t>Historical corpus adapters were built, including SDU@AAAI-21 AD and SDU@AAAI-22 AE support; downloadable datasets were processed after the corpus configuration issue was fixed.</w:t>
            </w:r>
          </w:p>
        </w:tc>
      </w:tr>
      <w:tr>
        <w:tc>
          <w:tcPr>
            <w:tcW w:type="dxa" w:w="2520"/>
            <w:vAlign w:val="top"/>
            <w:tcMar>
              <w:top w:w="100" w:type="dxa"/>
              <w:start w:w="120" w:type="dxa"/>
              <w:bottom w:w="100" w:type="dxa"/>
              <w:end w:w="120" w:type="dxa"/>
            </w:tcMar>
            <w:shd w:fill="F3F5F7"/>
          </w:tcPr>
          <w:p>
            <w:pPr>
              <w:spacing w:after="0"/>
            </w:pPr>
            <w:r>
              <w:rPr>
                <w:b/>
                <w:sz w:val="18"/>
              </w:rPr>
              <w:t>Regression safety</w:t>
            </w:r>
          </w:p>
        </w:tc>
        <w:tc>
          <w:tcPr>
            <w:tcW w:type="dxa" w:w="7632"/>
            <w:vAlign w:val="top"/>
            <w:tcMar>
              <w:top w:w="100" w:type="dxa"/>
              <w:start w:w="120" w:type="dxa"/>
              <w:bottom w:w="100" w:type="dxa"/>
              <w:end w:w="120" w:type="dxa"/>
            </w:tcMar>
            <w:shd w:fill="F3F5F7"/>
          </w:tcPr>
          <w:p>
            <w:pPr>
              <w:spacing w:after="0"/>
            </w:pPr>
            <w:r>
              <w:rPr>
                <w:sz w:val="18"/>
              </w:rPr>
              <w:t>A regression/golden suite exists, including explicit treatment of reviewed edge behavior such as reverse-order Ab3P cases.</w:t>
            </w:r>
          </w:p>
        </w:tc>
      </w:tr>
      <w:tr>
        <w:tc>
          <w:tcPr>
            <w:tcW w:type="dxa" w:w="2520"/>
            <w:vAlign w:val="top"/>
            <w:tcMar>
              <w:top w:w="100" w:type="dxa"/>
              <w:start w:w="120" w:type="dxa"/>
              <w:bottom w:w="100" w:type="dxa"/>
              <w:end w:w="120" w:type="dxa"/>
            </w:tcMar>
          </w:tcPr>
          <w:p>
            <w:pPr>
              <w:spacing w:after="0"/>
            </w:pPr>
            <w:r>
              <w:rPr>
                <w:b/>
                <w:sz w:val="18"/>
              </w:rPr>
              <w:t>Ab3P provenance</w:t>
            </w:r>
          </w:p>
        </w:tc>
        <w:tc>
          <w:tcPr>
            <w:tcW w:type="dxa" w:w="7632"/>
            <w:vAlign w:val="top"/>
            <w:tcMar>
              <w:top w:w="100" w:type="dxa"/>
              <w:start w:w="120" w:type="dxa"/>
              <w:bottom w:w="100" w:type="dxa"/>
              <w:end w:w="120" w:type="dxa"/>
            </w:tcMar>
          </w:tcPr>
          <w:p>
            <w:pPr>
              <w:spacing w:after="0"/>
            </w:pPr>
            <w:r>
              <w:rPr>
                <w:sz w:val="18"/>
              </w:rPr>
              <w:t>Cache/provenance handling for Ab3P was strengthened and synthetic fixtures were explicitly identified as synthetic.</w:t>
            </w:r>
          </w:p>
        </w:tc>
      </w:tr>
      <w:tr>
        <w:tc>
          <w:tcPr>
            <w:tcW w:type="dxa" w:w="2520"/>
            <w:vAlign w:val="top"/>
            <w:tcMar>
              <w:top w:w="100" w:type="dxa"/>
              <w:start w:w="120" w:type="dxa"/>
              <w:bottom w:w="100" w:type="dxa"/>
              <w:end w:w="120" w:type="dxa"/>
            </w:tcMar>
            <w:shd w:fill="F3F5F7"/>
          </w:tcPr>
          <w:p>
            <w:pPr>
              <w:spacing w:after="0"/>
            </w:pPr>
            <w:r>
              <w:rPr>
                <w:b/>
                <w:sz w:val="18"/>
              </w:rPr>
              <w:t>Engineering quality</w:t>
            </w:r>
          </w:p>
        </w:tc>
        <w:tc>
          <w:tcPr>
            <w:tcW w:type="dxa" w:w="7632"/>
            <w:vAlign w:val="top"/>
            <w:tcMar>
              <w:top w:w="100" w:type="dxa"/>
              <w:start w:w="120" w:type="dxa"/>
              <w:bottom w:w="100" w:type="dxa"/>
              <w:end w:w="120" w:type="dxa"/>
            </w:tcMar>
            <w:shd w:fill="F3F5F7"/>
          </w:tcPr>
          <w:p>
            <w:pPr>
              <w:spacing w:after="0"/>
            </w:pPr>
            <w:r>
              <w:rPr>
                <w:sz w:val="18"/>
              </w:rPr>
              <w:t>The most recent repository review reported 158 passing tests, Ruff formatting/lint, mypy success, and 96.47% coverage against a documented 95% floor.</w:t>
            </w:r>
          </w:p>
        </w:tc>
      </w:tr>
      <w:tr>
        <w:tc>
          <w:tcPr>
            <w:tcW w:type="dxa" w:w="2520"/>
            <w:vAlign w:val="top"/>
            <w:tcMar>
              <w:top w:w="100" w:type="dxa"/>
              <w:start w:w="120" w:type="dxa"/>
              <w:bottom w:w="100" w:type="dxa"/>
              <w:end w:w="120" w:type="dxa"/>
            </w:tcMar>
          </w:tcPr>
          <w:p>
            <w:pPr>
              <w:spacing w:after="0"/>
            </w:pPr>
            <w:r>
              <w:rPr>
                <w:b/>
                <w:sz w:val="18"/>
              </w:rPr>
              <w:t>Logging</w:t>
            </w:r>
          </w:p>
        </w:tc>
        <w:tc>
          <w:tcPr>
            <w:tcW w:type="dxa" w:w="7632"/>
            <w:vAlign w:val="top"/>
            <w:tcMar>
              <w:top w:w="100" w:type="dxa"/>
              <w:start w:w="120" w:type="dxa"/>
              <w:bottom w:w="100" w:type="dxa"/>
              <w:end w:w="120" w:type="dxa"/>
            </w:tcMar>
          </w:tcPr>
          <w:p>
            <w:pPr>
              <w:spacing w:after="0"/>
            </w:pPr>
            <w:r>
              <w:rPr>
                <w:sz w:val="18"/>
              </w:rPr>
              <w:t>Operational logging has been a recent requirement: INFO for major steps, WARNING/ERROR for problems, DEBUG for low-level detail. Verify that the actual CLI path now exposes this cleanly.</w:t>
            </w:r>
          </w:p>
        </w:tc>
      </w:tr>
    </w:tbl>
    <w:p>
      <w:pPr>
        <w:spacing w:after="0"/>
      </w:pPr>
    </w:p>
    <w:p>
      <w:r>
        <w:t>Important environment caveat: the recent automated verification environment did not have a real Ab3P executable. Therefore, passing tests and synthetic fixtures are necessary but do not replace a real end-to-end execution check.</w:t>
      </w:r>
    </w:p>
    <w:p>
      <w:pPr>
        <w:pStyle w:val="Heading1"/>
      </w:pPr>
      <w:r>
        <w:t>2. Immediate objective: prove the real pipeline runs</w:t>
      </w:r>
    </w:p>
    <w:tbl>
      <w:tblPr>
        <w:tblW w:type="auto" w:w="0"/>
        <w:jc w:val="center"/>
        <w:tblLayout w:type="autofit"/>
        <w:tblLook w:firstColumn="1" w:firstRow="1" w:lastColumn="0" w:lastRow="0" w:noHBand="0" w:noVBand="1" w:val="04A0"/>
      </w:tblPr>
      <w:tblGrid>
        <w:gridCol w:w="9878"/>
      </w:tblGrid>
      <w:tr>
        <w:tc>
          <w:tcPr>
            <w:tcW w:type="dxa" w:w="9878"/>
            <w:shd w:fill="EAF2F7"/>
            <w:tcMar>
              <w:top w:w="150" w:type="dxa"/>
              <w:start w:w="180" w:type="dxa"/>
              <w:bottom w:w="150" w:type="dxa"/>
              <w:end w:w="180" w:type="dxa"/>
            </w:tcMar>
          </w:tcPr>
          <w:p>
            <w:pPr>
              <w:pStyle w:val="Callout"/>
            </w:pPr>
            <w:r>
              <w:rPr>
                <w:b/>
              </w:rPr>
              <w:t xml:space="preserve">Priority 0: </w:t>
            </w:r>
            <w:r>
              <w:t>Before adding more research ideas, establish one canonical fresh-environment path that produces real resolver predictions and benchmark metrics from real corpus input.</w:t>
            </w:r>
          </w:p>
        </w:tc>
      </w:tr>
    </w:tbl>
    <w:p>
      <w:pPr>
        <w:spacing w:after="0"/>
      </w:pPr>
    </w:p>
    <w:p>
      <w:pPr>
        <w:pStyle w:val="Heading2"/>
      </w:pPr>
      <w:r>
        <w:t>2.1 Suggested work package T017 — End-to-end execution and smoke benchmark</w:t>
      </w:r>
    </w:p>
    <w:p>
      <w:pPr>
        <w:pStyle w:val="ListBullet"/>
      </w:pPr>
      <w:r>
        <w:t>Start from a clean checkout / clean environment and document the exact installation path.</w:t>
      </w:r>
    </w:p>
    <w:p>
      <w:pPr>
        <w:pStyle w:val="ListBullet"/>
      </w:pPr>
      <w:r>
        <w:t>Resolve real runtime dependencies, especially the actual Ab3P executable and any external data/model assets.</w:t>
      </w:r>
    </w:p>
    <w:p>
      <w:pPr>
        <w:pStyle w:val="ListBullet"/>
      </w:pPr>
      <w:r>
        <w:t>Choose one small historical corpus slice as the canonical smoke input.</w:t>
      </w:r>
    </w:p>
    <w:p>
      <w:pPr>
        <w:pStyle w:val="ListBullet"/>
      </w:pPr>
      <w:r>
        <w:t>Run at least the native Schwartz–Hearst baseline and real Ab3P through the normal orchestration path.</w:t>
      </w:r>
    </w:p>
    <w:p>
      <w:pPr>
        <w:pStyle w:val="ListBullet"/>
      </w:pPr>
      <w:r>
        <w:t>Confirm that prediction caches, run identities, output artifacts, metrics, and provenance are all produced as intended.</w:t>
      </w:r>
    </w:p>
    <w:p>
      <w:pPr>
        <w:pStyle w:val="ListBullet"/>
      </w:pPr>
      <w:r>
        <w:t>Verify logging at INFO by default and DEBUG on request; warnings/errors should be actionable rather than swallowed.</w:t>
      </w:r>
    </w:p>
    <w:p>
      <w:pPr>
        <w:pStyle w:val="ListBullet"/>
      </w:pPr>
      <w:r>
        <w:t>Repeat from a second clean state or CI-like environment to prove the instructions are sufficient.</w:t>
      </w:r>
    </w:p>
    <w:p>
      <w:pPr>
        <w:pStyle w:val="Heading3"/>
      </w:pPr>
      <w:r>
        <w:t>Acceptance criteria</w:t>
      </w:r>
    </w:p>
    <w:p>
      <w:pPr>
        <w:pStyle w:val="ListBullet"/>
      </w:pPr>
      <w:r>
        <w:t>A new collaborator can follow one documented command sequence from checkout to scored predictions without editing source code.</w:t>
      </w:r>
    </w:p>
    <w:p>
      <w:pPr>
        <w:pStyle w:val="ListBullet"/>
      </w:pPr>
      <w:r>
        <w:t>The run uses a real Ab3P executable, not synthetic predictions.</w:t>
      </w:r>
    </w:p>
    <w:p>
      <w:pPr>
        <w:pStyle w:val="ListBullet"/>
      </w:pPr>
      <w:r>
        <w:t>Outputs state resolver/config/model or executable identity and corpus provenance.</w:t>
      </w:r>
    </w:p>
    <w:p>
      <w:pPr>
        <w:pStyle w:val="ListBullet"/>
      </w:pPr>
      <w:r>
        <w:t>A failing dependency produces an understandable error and nonzero failure rather than silently degraded behavior.</w:t>
      </w:r>
    </w:p>
    <w:p>
      <w:pPr>
        <w:pStyle w:val="ListBullet"/>
      </w:pPr>
      <w:r>
        <w:t>A small smoke benchmark completes deterministically enough to serve as the integration sanity check for later work.</w:t>
      </w:r>
    </w:p>
    <w:p>
      <w:pPr>
        <w:pStyle w:val="Heading1"/>
      </w:pPr>
      <w:r>
        <w:t>3. Next resolver: PLODv2</w:t>
      </w:r>
    </w:p>
    <w:p>
      <w:r>
        <w:t>PLODv2 is the most important near-term learned resolver because practical experimentation suggested that it is far better than the original PLOD while still exhibiting a different error profile from Ab3P. Its value is therefore both standalone performance and potential complementarity.</w:t>
      </w:r>
    </w:p>
    <w:p>
      <w:pPr>
        <w:pStyle w:val="Heading2"/>
      </w:pPr>
      <w:r>
        <w:t>3.1 Suggested work package T018 — PLODv2 resolver adapter</w:t>
      </w:r>
    </w:p>
    <w:p>
      <w:pPr>
        <w:pStyle w:val="ListBullet"/>
      </w:pPr>
      <w:r>
        <w:t>Integrate PLODv2 behind the same resolver interface and normalized prediction schema as the existing baselines.</w:t>
      </w:r>
    </w:p>
    <w:p>
      <w:pPr>
        <w:pStyle w:val="ListBullet"/>
      </w:pPr>
      <w:r>
        <w:t>Pin the model/repository revision and include a content hash or equivalent stable model identity in the prediction cache key.</w:t>
      </w:r>
    </w:p>
    <w:p>
      <w:pPr>
        <w:pStyle w:val="ListBullet"/>
      </w:pPr>
      <w:r>
        <w:t>Implement robust token-to-character span mapping; preserve enough raw span information to diagnose boundary errors.</w:t>
      </w:r>
    </w:p>
    <w:p>
      <w:pPr>
        <w:pStyle w:val="ListBullet"/>
      </w:pPr>
      <w:r>
        <w:t>Treat SF/LF span detection and SF–LF pairing as separate stages. Do not assume the model output itself solves pairing.</w:t>
      </w:r>
    </w:p>
    <w:p>
      <w:pPr>
        <w:pStyle w:val="ListBullet"/>
      </w:pPr>
      <w:r>
        <w:t>Make batch size, device, and model path/config explicit and reproducible.</w:t>
      </w:r>
    </w:p>
    <w:p>
      <w:pPr>
        <w:pStyle w:val="ListBullet"/>
      </w:pPr>
      <w:r>
        <w:t>Add unit fixtures for span mapping, pair construction, duplicate handling, and no-pair cases.</w:t>
      </w:r>
    </w:p>
    <w:p>
      <w:pPr>
        <w:pStyle w:val="ListBullet"/>
      </w:pPr>
      <w:r>
        <w:t>Benchmark PLODv2 alone against the same historical corpora before attempting any fusion.</w:t>
      </w:r>
    </w:p>
    <w:p>
      <w:pPr>
        <w:pStyle w:val="Heading3"/>
      </w:pPr>
      <w:r>
        <w:t>Key experiment</w:t>
      </w:r>
    </w:p>
    <w:p>
      <w:r>
        <w:t>Measure not only PLODv2 F1 but its unique correct pairs relative to Ab3P and Schwartz–Hearst. If its aggregate score is only similar but it recovers a meaningful set of cases missed by the pattern systems, it may still be highly valuable in a hybrid.</w:t>
      </w:r>
    </w:p>
    <w:p>
      <w:pPr>
        <w:pStyle w:val="Heading1"/>
      </w:pPr>
      <w:r>
        <w:t>4. Abbreviation lists: turn the 2024 extraction into a reusable resource</w:t>
      </w:r>
    </w:p>
    <w:p>
      <w:r>
        <w:t>There is already a high-value data asset: a list produced by applying Ab3P to essentially all PubMed and PMC literature from 2024. That should be formalized rather than left as an external analysis artifact.</w:t>
      </w:r>
    </w:p>
    <w:p>
      <w:pPr>
        <w:pStyle w:val="Heading2"/>
      </w:pPr>
      <w:r>
        <w:t>4.1 Suggested work package T019 — Frequency and lexical resource layer</w:t>
      </w:r>
    </w:p>
    <w:p>
      <w:pPr>
        <w:pStyle w:val="ListBullet"/>
      </w:pPr>
      <w:r>
        <w:t>Define an ingest format for the 2024 SF/LF frequency data, including counts and source provenance.</w:t>
      </w:r>
    </w:p>
    <w:p>
      <w:pPr>
        <w:pStyle w:val="ListBullet"/>
      </w:pPr>
      <w:r>
        <w:t>Normalize short forms conservatively and preserve raw variants. Avoid aggressive LF normalization that would collapse genuinely different expansions.</w:t>
      </w:r>
    </w:p>
    <w:p>
      <w:pPr>
        <w:pStyle w:val="ListBullet"/>
      </w:pPr>
      <w:r>
        <w:t>Compute useful summaries: SF frequency, SF–LF pair frequency, number of distinct LFs per SF, and dominance/ambiguity measures.</w:t>
      </w:r>
    </w:p>
    <w:p>
      <w:pPr>
        <w:pStyle w:val="ListBullet"/>
      </w:pPr>
      <w:r>
        <w:t>Create APIs or data products for lookup by SF and by SF–LF pair.</w:t>
      </w:r>
    </w:p>
    <w:p>
      <w:pPr>
        <w:pStyle w:val="ListBullet"/>
      </w:pPr>
      <w:r>
        <w:t>Keep “local evidence” and “global frequency evidence” distinct in the schema so later fusion remains interpretable.</w:t>
      </w:r>
    </w:p>
    <w:p>
      <w:pPr>
        <w:pStyle w:val="ListBullet"/>
      </w:pPr>
      <w:r>
        <w:t>Add tests using a compact fixture rather than embedding a huge production list in the repository.</w:t>
      </w:r>
    </w:p>
    <w:p>
      <w:pPr>
        <w:pStyle w:val="Heading3"/>
      </w:pPr>
      <w:r>
        <w:t>Possible uses to evaluate separately</w:t>
      </w:r>
    </w:p>
    <w:p>
      <w:pPr>
        <w:pStyle w:val="ListBullet"/>
      </w:pPr>
      <w:r>
        <w:t>Sampling: choose articles that efficiently cover high-frequency abbreviations.</w:t>
      </w:r>
    </w:p>
    <w:p>
      <w:pPr>
        <w:pStyle w:val="ListBullet"/>
      </w:pPr>
      <w:r>
        <w:t>Validation/ranking: provide supporting evidence for locally detected pairs or help resolve conflicts.</w:t>
      </w:r>
    </w:p>
    <w:p>
      <w:pPr>
        <w:pStyle w:val="ListBullet"/>
      </w:pPr>
      <w:r>
        <w:t>Fallback: optionally suggest a likely expansion for an undefined abbreviation—but score this as a different task from local definition resolution.</w:t>
      </w:r>
    </w:p>
    <w:p>
      <w:pPr>
        <w:pStyle w:val="ListBullet"/>
      </w:pPr>
      <w:r>
        <w:t>Error targeting: identify high-frequency abbreviations responsible for disproportionate production errors.</w:t>
      </w:r>
    </w:p>
    <w:p>
      <w:pPr>
        <w:pStyle w:val="Heading1"/>
      </w:pPr>
      <w:r>
        <w:t>5. Build a contemporary PubMed/PMC evaluation subset</w:t>
      </w:r>
    </w:p>
    <w:p>
      <w:r>
        <w:t>Historical corpora are useful for compatibility with the literature, but the production question is performance on present-day biomedical articles. The 2024 frequency data provides a principled way to make manual evaluation tractable.</w:t>
      </w:r>
    </w:p>
    <w:p>
      <w:pPr>
        <w:pStyle w:val="Heading2"/>
      </w:pPr>
      <w:r>
        <w:t>5.1 Suggested work package T020 — Literature sampling and annotation pilot</w:t>
      </w:r>
    </w:p>
    <w:p>
      <w:pPr>
        <w:pStyle w:val="ListBullet"/>
      </w:pPr>
      <w:r>
        <w:t>Create a candidate pool of 2024 PubMed/PMC articles linked to the extracted abbreviation pairs.</w:t>
      </w:r>
    </w:p>
    <w:p>
      <w:pPr>
        <w:pStyle w:val="ListBullet"/>
      </w:pPr>
      <w:r>
        <w:t>Use a weighted set-cover-style selection to choose a relatively small article set that covers many high-frequency SFs/pairs without allowing a few ultra-common abbreviations to dominate.</w:t>
      </w:r>
    </w:p>
    <w:p>
      <w:pPr>
        <w:pStyle w:val="ListBullet"/>
      </w:pPr>
      <w:r>
        <w:t>Add explicit strata for ambiguous SFs, long-tail abbreviations, reverse-order definitions, punctuation/nesting challenges, and abstract versus full-text sources.</w:t>
      </w:r>
    </w:p>
    <w:p>
      <w:pPr>
        <w:pStyle w:val="ListBullet"/>
      </w:pPr>
      <w:r>
        <w:t>Reserve a small random or stratified-random holdout so the evaluation does not consist entirely of cases selected because Ab3P already found them.</w:t>
      </w:r>
    </w:p>
    <w:p>
      <w:pPr>
        <w:pStyle w:val="ListBullet"/>
      </w:pPr>
      <w:r>
        <w:t>Run a pilot annotation batch first, refine the guideline, then expand only after disagreement/error modes are understood.</w:t>
      </w:r>
    </w:p>
    <w:p>
      <w:pPr>
        <w:pStyle w:val="ListBullet"/>
      </w:pPr>
      <w:r>
        <w:t>Record document identifiers, section/context, SF span, LF span, pair relation, definition order, and adjudication status.</w:t>
      </w:r>
    </w:p>
    <w:p>
      <w:pPr>
        <w:pStyle w:val="Heading3"/>
      </w:pPr>
      <w:r>
        <w:t>Sampling caution</w:t>
      </w:r>
    </w:p>
    <w:p>
      <w:r>
        <w:t>Because the 2024 list was generated with Ab3P, a benchmark selected only from Ab3P-detected pairs would be biased toward Ab3P-recognizable constructions. Use the list to maximize coverage, but include independent sampling so new resolvers have a fair chance to demonstrate recall on cases Ab3P never proposed.</w:t>
      </w:r>
    </w:p>
    <w:p>
      <w:pPr>
        <w:pStyle w:val="Heading1"/>
      </w:pPr>
      <w:r>
        <w:t>6. Make the comparison framework answer the research questions</w:t>
      </w:r>
    </w:p>
    <w:p>
      <w:pPr>
        <w:pStyle w:val="Heading2"/>
      </w:pPr>
      <w:r>
        <w:t>6.1 Suggested work package T021 — Comparative benchmark and error analysis</w:t>
      </w:r>
    </w:p>
    <w:p>
      <w:pPr>
        <w:pStyle w:val="ListBullet"/>
      </w:pPr>
      <w:r>
        <w:t>Run Schwartz–Hearst, Ab3P, and PLODv2 on all available historical corpora and the new contemporary pilot.</w:t>
      </w:r>
    </w:p>
    <w:p>
      <w:pPr>
        <w:pStyle w:val="ListBullet"/>
      </w:pPr>
      <w:r>
        <w:t>Report exact pair precision/recall/F1 and retain span-level diagnostics rather than reducing everything to one number.</w:t>
      </w:r>
    </w:p>
    <w:p>
      <w:pPr>
        <w:pStyle w:val="ListBullet"/>
      </w:pPr>
      <w:r>
        <w:t>Compute pairwise agreement, intersections, unions, and resolver-unique true positives/false positives.</w:t>
      </w:r>
    </w:p>
    <w:p>
      <w:pPr>
        <w:pStyle w:val="ListBullet"/>
      </w:pPr>
      <w:r>
        <w:t>Compute an oracle-union upper bound: how good could a perfect selector be if it could choose among the available resolvers?</w:t>
      </w:r>
    </w:p>
    <w:p>
      <w:pPr>
        <w:pStyle w:val="ListBullet"/>
      </w:pPr>
      <w:r>
        <w:t>Define and tag an error taxonomy: missed definition, false definition, wrong boundary, wrong pairing, reverse order, nested/punctuation case, tokenization/alignment issue, duplicate/conflict, and annotation ambiguity.</w:t>
      </w:r>
    </w:p>
    <w:p>
      <w:pPr>
        <w:pStyle w:val="ListBullet"/>
      </w:pPr>
      <w:r>
        <w:t>Break performance down by frequency/ambiguity strata from the 2024 list to see whether methods fail on the abbreviations that matter most operationally.</w:t>
      </w:r>
    </w:p>
    <w:p>
      <w:pPr>
        <w:pStyle w:val="Heading1"/>
      </w:pPr>
      <w:r>
        <w:t>7. Only then build the hybrid</w:t>
      </w:r>
    </w:p>
    <w:p>
      <w:pPr>
        <w:pStyle w:val="Heading2"/>
      </w:pPr>
      <w:r>
        <w:t>7.1 Suggested work package T022 — Simple fusion / cascade</w:t>
      </w:r>
    </w:p>
    <w:p>
      <w:r>
        <w:t>Use the comparative results to choose the first hybrid. Start with a transparent strategy whose behavior can be inspected. Candidate approaches include:</w:t>
      </w:r>
    </w:p>
    <w:p>
      <w:pPr>
        <w:pStyle w:val="ListBullet"/>
      </w:pPr>
      <w:r>
        <w:t>Union plus deterministic conflict handling, if precision remains acceptable.</w:t>
      </w:r>
    </w:p>
    <w:p>
      <w:pPr>
        <w:pStyle w:val="ListBullet"/>
      </w:pPr>
      <w:r>
        <w:t>Ab3P/Schwartz–Hearst as high-confidence canonical detectors, with PLODv2 adding candidates only when no conflicting pattern-based definition exists.</w:t>
      </w:r>
    </w:p>
    <w:p>
      <w:pPr>
        <w:pStyle w:val="ListBullet"/>
      </w:pPr>
      <w:r>
        <w:t>Resolver-specific confidence/priority rules augmented by lexical frequency support.</w:t>
      </w:r>
    </w:p>
    <w:p>
      <w:pPr>
        <w:pStyle w:val="ListBullet"/>
      </w:pPr>
      <w:r>
        <w:t>A two-stage candidate-union then ranking/filtering system, if disagreement data is rich enough.</w:t>
      </w:r>
    </w:p>
    <w:p>
      <w:r>
        <w:t>A learned meta-ranker is a later option. It should not be the first fusion implementation unless the disagreement dataset is large enough to train and evaluate it cleanly.</w:t>
      </w:r>
    </w:p>
    <w:p>
      <w:pPr>
        <w:pStyle w:val="Heading1"/>
      </w:pPr>
      <w:r>
        <w:t>8. Downstream validation</w:t>
      </w:r>
    </w:p>
    <w:p>
      <w:pPr>
        <w:pStyle w:val="Heading2"/>
      </w:pPr>
      <w:r>
        <w:t>8.1 Suggested work package T023 — Entity-extraction impact</w:t>
      </w:r>
    </w:p>
    <w:p>
      <w:r>
        <w:t>Once a hybrid improves abbreviation metrics, test whether it actually improves the intended biomedical extraction pipeline. For the cell-phenotype use case, compare entity recovery/linkage with the baseline abbreviation layer versus the new resolver. This guards against spending effort on abbreviation differences that do not affect useful downstream output.</w:t>
      </w:r>
    </w:p>
    <w:p>
      <w:pPr>
        <w:pStyle w:val="Heading1"/>
      </w:pPr>
      <w:r>
        <w:t>9. Recommended order and dependencies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008"/>
            <w:shd w:fill="18324A"/>
            <w:tcMar>
              <w:top w:w="100" w:type="dxa"/>
              <w:start w:w="120" w:type="dxa"/>
              <w:bottom w:w="100" w:type="dxa"/>
              <w:end w:w="120" w:type="dxa"/>
            </w:tcMar>
          </w:tcPr>
          <w:p>
            <w:r>
              <w:rPr>
                <w:b/>
                <w:color w:val="FFFFFF"/>
                <w:sz w:val="18"/>
              </w:rPr>
              <w:t>Package</w:t>
            </w:r>
          </w:p>
        </w:tc>
        <w:tc>
          <w:tcPr>
            <w:tcW w:type="dxa" w:w="2520"/>
            <w:shd w:fill="18324A"/>
            <w:tcMar>
              <w:top w:w="100" w:type="dxa"/>
              <w:start w:w="120" w:type="dxa"/>
              <w:bottom w:w="100" w:type="dxa"/>
              <w:end w:w="120" w:type="dxa"/>
            </w:tcMar>
          </w:tcPr>
          <w:p>
            <w:r>
              <w:rPr>
                <w:b/>
                <w:color w:val="FFFFFF"/>
                <w:sz w:val="18"/>
              </w:rPr>
              <w:t>Focus</w:t>
            </w:r>
          </w:p>
        </w:tc>
        <w:tc>
          <w:tcPr>
            <w:tcW w:type="dxa" w:w="2376"/>
            <w:shd w:fill="18324A"/>
            <w:tcMar>
              <w:top w:w="100" w:type="dxa"/>
              <w:start w:w="120" w:type="dxa"/>
              <w:bottom w:w="100" w:type="dxa"/>
              <w:end w:w="120" w:type="dxa"/>
            </w:tcMar>
          </w:tcPr>
          <w:p>
            <w:r>
              <w:rPr>
                <w:b/>
                <w:color w:val="FFFFFF"/>
                <w:sz w:val="18"/>
              </w:rPr>
              <w:t>Depends on</w:t>
            </w:r>
          </w:p>
        </w:tc>
        <w:tc>
          <w:tcPr>
            <w:tcW w:type="dxa" w:w="4320"/>
            <w:shd w:fill="18324A"/>
            <w:tcMar>
              <w:top w:w="100" w:type="dxa"/>
              <w:start w:w="120" w:type="dxa"/>
              <w:bottom w:w="100" w:type="dxa"/>
              <w:end w:w="120" w:type="dxa"/>
            </w:tcMar>
          </w:tcPr>
          <w:p>
            <w:r>
              <w:rPr>
                <w:b/>
                <w:color w:val="FFFFFF"/>
                <w:sz w:val="18"/>
              </w:rPr>
              <w:t>Why now</w:t>
            </w:r>
          </w:p>
        </w:tc>
      </w:tr>
      <w:tr>
        <w:tc>
          <w:tcPr>
            <w:tcW w:type="dxa" w:w="1008"/>
            <w:tcMar>
              <w:top w:w="100" w:type="dxa"/>
              <w:start w:w="120" w:type="dxa"/>
              <w:bottom w:w="100" w:type="dxa"/>
              <w:end w:w="120" w:type="dxa"/>
            </w:tcMar>
            <w:vAlign w:val="top"/>
          </w:tcPr>
          <w:p>
            <w:pPr>
              <w:spacing w:after="0"/>
            </w:pPr>
            <w:r>
              <w:rPr>
                <w:b/>
                <w:sz w:val="17"/>
              </w:rPr>
              <w:t>T017</w:t>
            </w:r>
          </w:p>
        </w:tc>
        <w:tc>
          <w:tcPr>
            <w:tcW w:type="dxa" w:w="2520"/>
            <w:tcMar>
              <w:top w:w="100" w:type="dxa"/>
              <w:start w:w="120" w:type="dxa"/>
              <w:bottom w:w="100" w:type="dxa"/>
              <w:end w:w="120" w:type="dxa"/>
            </w:tcMar>
            <w:vAlign w:val="top"/>
          </w:tcPr>
          <w:p>
            <w:pPr>
              <w:spacing w:after="0"/>
            </w:pPr>
            <w:r>
              <w:rPr>
                <w:sz w:val="17"/>
              </w:rPr>
              <w:t>End-to-end real run</w:t>
            </w:r>
          </w:p>
        </w:tc>
        <w:tc>
          <w:tcPr>
            <w:tcW w:type="dxa" w:w="2376"/>
            <w:tcMar>
              <w:top w:w="100" w:type="dxa"/>
              <w:start w:w="120" w:type="dxa"/>
              <w:bottom w:w="100" w:type="dxa"/>
              <w:end w:w="120" w:type="dxa"/>
            </w:tcMar>
            <w:vAlign w:val="top"/>
          </w:tcPr>
          <w:p>
            <w:pPr>
              <w:spacing w:after="0"/>
            </w:pPr>
            <w:r>
              <w:rPr>
                <w:sz w:val="17"/>
              </w:rPr>
              <w:t>None beyond current repo</w:t>
            </w:r>
          </w:p>
        </w:tc>
        <w:tc>
          <w:tcPr>
            <w:tcW w:type="dxa" w:w="4320"/>
            <w:tcMar>
              <w:top w:w="100" w:type="dxa"/>
              <w:start w:w="120" w:type="dxa"/>
              <w:bottom w:w="100" w:type="dxa"/>
              <w:end w:w="120" w:type="dxa"/>
            </w:tcMar>
            <w:vAlign w:val="top"/>
          </w:tcPr>
          <w:p>
            <w:pPr>
              <w:spacing w:after="0"/>
            </w:pPr>
            <w:r>
              <w:rPr>
                <w:sz w:val="17"/>
              </w:rPr>
              <w:t>Proves the system is operational; highest priority.</w:t>
            </w:r>
          </w:p>
        </w:tc>
      </w:tr>
      <w:tr>
        <w:tc>
          <w:tcPr>
            <w:tcW w:type="dxa" w:w="1008"/>
            <w:tcMar>
              <w:top w:w="100" w:type="dxa"/>
              <w:start w:w="120" w:type="dxa"/>
              <w:bottom w:w="100" w:type="dxa"/>
              <w:end w:w="120" w:type="dxa"/>
            </w:tcMar>
            <w:vAlign w:val="top"/>
            <w:shd w:fill="F3F5F7"/>
          </w:tcPr>
          <w:p>
            <w:pPr>
              <w:spacing w:after="0"/>
            </w:pPr>
            <w:r>
              <w:rPr>
                <w:b/>
                <w:sz w:val="17"/>
              </w:rPr>
              <w:t>T018</w:t>
            </w:r>
          </w:p>
        </w:tc>
        <w:tc>
          <w:tcPr>
            <w:tcW w:type="dxa" w:w="2520"/>
            <w:tcMar>
              <w:top w:w="100" w:type="dxa"/>
              <w:start w:w="120" w:type="dxa"/>
              <w:bottom w:w="100" w:type="dxa"/>
              <w:end w:w="120" w:type="dxa"/>
            </w:tcMar>
            <w:vAlign w:val="top"/>
            <w:shd w:fill="F3F5F7"/>
          </w:tcPr>
          <w:p>
            <w:pPr>
              <w:spacing w:after="0"/>
            </w:pPr>
            <w:r>
              <w:rPr>
                <w:sz w:val="17"/>
              </w:rPr>
              <w:t>PLODv2 adapter</w:t>
            </w:r>
          </w:p>
        </w:tc>
        <w:tc>
          <w:tcPr>
            <w:tcW w:type="dxa" w:w="2376"/>
            <w:tcMar>
              <w:top w:w="100" w:type="dxa"/>
              <w:start w:w="120" w:type="dxa"/>
              <w:bottom w:w="100" w:type="dxa"/>
              <w:end w:w="120" w:type="dxa"/>
            </w:tcMar>
            <w:vAlign w:val="top"/>
            <w:shd w:fill="F3F5F7"/>
          </w:tcPr>
          <w:p>
            <w:pPr>
              <w:spacing w:after="0"/>
            </w:pPr>
            <w:r>
              <w:rPr>
                <w:sz w:val="17"/>
              </w:rPr>
              <w:t>T017 execution path</w:t>
            </w:r>
          </w:p>
        </w:tc>
        <w:tc>
          <w:tcPr>
            <w:tcW w:type="dxa" w:w="4320"/>
            <w:tcMar>
              <w:top w:w="100" w:type="dxa"/>
              <w:start w:w="120" w:type="dxa"/>
              <w:bottom w:w="100" w:type="dxa"/>
              <w:end w:w="120" w:type="dxa"/>
            </w:tcMar>
            <w:vAlign w:val="top"/>
            <w:shd w:fill="F3F5F7"/>
          </w:tcPr>
          <w:p>
            <w:pPr>
              <w:spacing w:after="0"/>
            </w:pPr>
            <w:r>
              <w:rPr>
                <w:sz w:val="17"/>
              </w:rPr>
              <w:t>Adds the most promising complementary learned resolver.</w:t>
            </w:r>
          </w:p>
        </w:tc>
      </w:tr>
      <w:tr>
        <w:tc>
          <w:tcPr>
            <w:tcW w:type="dxa" w:w="1008"/>
            <w:tcMar>
              <w:top w:w="100" w:type="dxa"/>
              <w:start w:w="120" w:type="dxa"/>
              <w:bottom w:w="100" w:type="dxa"/>
              <w:end w:w="120" w:type="dxa"/>
            </w:tcMar>
            <w:vAlign w:val="top"/>
          </w:tcPr>
          <w:p>
            <w:pPr>
              <w:spacing w:after="0"/>
            </w:pPr>
            <w:r>
              <w:rPr>
                <w:b/>
                <w:sz w:val="17"/>
              </w:rPr>
              <w:t>T019</w:t>
            </w:r>
          </w:p>
        </w:tc>
        <w:tc>
          <w:tcPr>
            <w:tcW w:type="dxa" w:w="2520"/>
            <w:tcMar>
              <w:top w:w="100" w:type="dxa"/>
              <w:start w:w="120" w:type="dxa"/>
              <w:bottom w:w="100" w:type="dxa"/>
              <w:end w:w="120" w:type="dxa"/>
            </w:tcMar>
            <w:vAlign w:val="top"/>
          </w:tcPr>
          <w:p>
            <w:pPr>
              <w:spacing w:after="0"/>
            </w:pPr>
            <w:r>
              <w:rPr>
                <w:sz w:val="17"/>
              </w:rPr>
              <w:t>2024 frequency/list resource</w:t>
            </w:r>
          </w:p>
        </w:tc>
        <w:tc>
          <w:tcPr>
            <w:tcW w:type="dxa" w:w="2376"/>
            <w:tcMar>
              <w:top w:w="100" w:type="dxa"/>
              <w:start w:w="120" w:type="dxa"/>
              <w:bottom w:w="100" w:type="dxa"/>
              <w:end w:w="120" w:type="dxa"/>
            </w:tcMar>
            <w:vAlign w:val="top"/>
          </w:tcPr>
          <w:p>
            <w:pPr>
              <w:spacing w:after="0"/>
            </w:pPr>
            <w:r>
              <w:rPr>
                <w:sz w:val="17"/>
              </w:rPr>
              <w:t>2024 extraction data</w:t>
            </w:r>
          </w:p>
        </w:tc>
        <w:tc>
          <w:tcPr>
            <w:tcW w:type="dxa" w:w="4320"/>
            <w:tcMar>
              <w:top w:w="100" w:type="dxa"/>
              <w:start w:w="120" w:type="dxa"/>
              <w:bottom w:w="100" w:type="dxa"/>
              <w:end w:w="120" w:type="dxa"/>
            </w:tcMar>
            <w:vAlign w:val="top"/>
          </w:tcPr>
          <w:p>
            <w:pPr>
              <w:spacing w:after="0"/>
            </w:pPr>
            <w:r>
              <w:rPr>
                <w:sz w:val="17"/>
              </w:rPr>
              <w:t>Supports sampling, analysis, and later fusion.</w:t>
            </w:r>
          </w:p>
        </w:tc>
      </w:tr>
      <w:tr>
        <w:tc>
          <w:tcPr>
            <w:tcW w:type="dxa" w:w="1008"/>
            <w:tcMar>
              <w:top w:w="100" w:type="dxa"/>
              <w:start w:w="120" w:type="dxa"/>
              <w:bottom w:w="100" w:type="dxa"/>
              <w:end w:w="120" w:type="dxa"/>
            </w:tcMar>
            <w:vAlign w:val="top"/>
            <w:shd w:fill="F3F5F7"/>
          </w:tcPr>
          <w:p>
            <w:pPr>
              <w:spacing w:after="0"/>
            </w:pPr>
            <w:r>
              <w:rPr>
                <w:b/>
                <w:sz w:val="17"/>
              </w:rPr>
              <w:t>T020</w:t>
            </w:r>
          </w:p>
        </w:tc>
        <w:tc>
          <w:tcPr>
            <w:tcW w:type="dxa" w:w="2520"/>
            <w:tcMar>
              <w:top w:w="100" w:type="dxa"/>
              <w:start w:w="120" w:type="dxa"/>
              <w:bottom w:w="100" w:type="dxa"/>
              <w:end w:w="120" w:type="dxa"/>
            </w:tcMar>
            <w:vAlign w:val="top"/>
            <w:shd w:fill="F3F5F7"/>
          </w:tcPr>
          <w:p>
            <w:pPr>
              <w:spacing w:after="0"/>
            </w:pPr>
            <w:r>
              <w:rPr>
                <w:sz w:val="17"/>
              </w:rPr>
              <w:t>Contemporary sampling + annotation pilot</w:t>
            </w:r>
          </w:p>
        </w:tc>
        <w:tc>
          <w:tcPr>
            <w:tcW w:type="dxa" w:w="2376"/>
            <w:tcMar>
              <w:top w:w="100" w:type="dxa"/>
              <w:start w:w="120" w:type="dxa"/>
              <w:bottom w:w="100" w:type="dxa"/>
              <w:end w:w="120" w:type="dxa"/>
            </w:tcMar>
            <w:vAlign w:val="top"/>
            <w:shd w:fill="F3F5F7"/>
          </w:tcPr>
          <w:p>
            <w:pPr>
              <w:spacing w:after="0"/>
            </w:pPr>
            <w:r>
              <w:rPr>
                <w:sz w:val="17"/>
              </w:rPr>
              <w:t>T019 useful; can start partly in parallel</w:t>
            </w:r>
          </w:p>
        </w:tc>
        <w:tc>
          <w:tcPr>
            <w:tcW w:type="dxa" w:w="4320"/>
            <w:tcMar>
              <w:top w:w="100" w:type="dxa"/>
              <w:start w:w="120" w:type="dxa"/>
              <w:bottom w:w="100" w:type="dxa"/>
              <w:end w:w="120" w:type="dxa"/>
            </w:tcMar>
            <w:vAlign w:val="top"/>
            <w:shd w:fill="F3F5F7"/>
          </w:tcPr>
          <w:p>
            <w:pPr>
              <w:spacing w:after="0"/>
            </w:pPr>
            <w:r>
              <w:rPr>
                <w:sz w:val="17"/>
              </w:rPr>
              <w:t>Creates production-relevant ground truth.</w:t>
            </w:r>
          </w:p>
        </w:tc>
      </w:tr>
      <w:tr>
        <w:tc>
          <w:tcPr>
            <w:tcW w:type="dxa" w:w="1008"/>
            <w:tcMar>
              <w:top w:w="100" w:type="dxa"/>
              <w:start w:w="120" w:type="dxa"/>
              <w:bottom w:w="100" w:type="dxa"/>
              <w:end w:w="120" w:type="dxa"/>
            </w:tcMar>
            <w:vAlign w:val="top"/>
          </w:tcPr>
          <w:p>
            <w:pPr>
              <w:spacing w:after="0"/>
            </w:pPr>
            <w:r>
              <w:rPr>
                <w:b/>
                <w:sz w:val="17"/>
              </w:rPr>
              <w:t>T021</w:t>
            </w:r>
          </w:p>
        </w:tc>
        <w:tc>
          <w:tcPr>
            <w:tcW w:type="dxa" w:w="2520"/>
            <w:tcMar>
              <w:top w:w="100" w:type="dxa"/>
              <w:start w:w="120" w:type="dxa"/>
              <w:bottom w:w="100" w:type="dxa"/>
              <w:end w:w="120" w:type="dxa"/>
            </w:tcMar>
            <w:vAlign w:val="top"/>
          </w:tcPr>
          <w:p>
            <w:pPr>
              <w:spacing w:after="0"/>
            </w:pPr>
            <w:r>
              <w:rPr>
                <w:sz w:val="17"/>
              </w:rPr>
              <w:t>Comparative benchmark/error analysis</w:t>
            </w:r>
          </w:p>
        </w:tc>
        <w:tc>
          <w:tcPr>
            <w:tcW w:type="dxa" w:w="2376"/>
            <w:tcMar>
              <w:top w:w="100" w:type="dxa"/>
              <w:start w:w="120" w:type="dxa"/>
              <w:bottom w:w="100" w:type="dxa"/>
              <w:end w:w="120" w:type="dxa"/>
            </w:tcMar>
            <w:vAlign w:val="top"/>
          </w:tcPr>
          <w:p>
            <w:pPr>
              <w:spacing w:after="0"/>
            </w:pPr>
            <w:r>
              <w:rPr>
                <w:sz w:val="17"/>
              </w:rPr>
              <w:t>T018 + T020</w:t>
            </w:r>
          </w:p>
        </w:tc>
        <w:tc>
          <w:tcPr>
            <w:tcW w:type="dxa" w:w="4320"/>
            <w:tcMar>
              <w:top w:w="100" w:type="dxa"/>
              <w:start w:w="120" w:type="dxa"/>
              <w:bottom w:w="100" w:type="dxa"/>
              <w:end w:w="120" w:type="dxa"/>
            </w:tcMar>
            <w:vAlign w:val="top"/>
          </w:tcPr>
          <w:p>
            <w:pPr>
              <w:spacing w:after="0"/>
            </w:pPr>
            <w:r>
              <w:rPr>
                <w:sz w:val="17"/>
              </w:rPr>
              <w:t>Quantifies complementarity and hybrid headroom.</w:t>
            </w:r>
          </w:p>
        </w:tc>
      </w:tr>
      <w:tr>
        <w:tc>
          <w:tcPr>
            <w:tcW w:type="dxa" w:w="1008"/>
            <w:tcMar>
              <w:top w:w="100" w:type="dxa"/>
              <w:start w:w="120" w:type="dxa"/>
              <w:bottom w:w="100" w:type="dxa"/>
              <w:end w:w="120" w:type="dxa"/>
            </w:tcMar>
            <w:vAlign w:val="top"/>
            <w:shd w:fill="F3F5F7"/>
          </w:tcPr>
          <w:p>
            <w:pPr>
              <w:spacing w:after="0"/>
            </w:pPr>
            <w:r>
              <w:rPr>
                <w:b/>
                <w:sz w:val="17"/>
              </w:rPr>
              <w:t>T022</w:t>
            </w:r>
          </w:p>
        </w:tc>
        <w:tc>
          <w:tcPr>
            <w:tcW w:type="dxa" w:w="2520"/>
            <w:tcMar>
              <w:top w:w="100" w:type="dxa"/>
              <w:start w:w="120" w:type="dxa"/>
              <w:bottom w:w="100" w:type="dxa"/>
              <w:end w:w="120" w:type="dxa"/>
            </w:tcMar>
            <w:vAlign w:val="top"/>
            <w:shd w:fill="F3F5F7"/>
          </w:tcPr>
          <w:p>
            <w:pPr>
              <w:spacing w:after="0"/>
            </w:pPr>
            <w:r>
              <w:rPr>
                <w:sz w:val="17"/>
              </w:rPr>
              <w:t>Simple hybrid/fusion</w:t>
            </w:r>
          </w:p>
        </w:tc>
        <w:tc>
          <w:tcPr>
            <w:tcW w:type="dxa" w:w="2376"/>
            <w:tcMar>
              <w:top w:w="100" w:type="dxa"/>
              <w:start w:w="120" w:type="dxa"/>
              <w:bottom w:w="100" w:type="dxa"/>
              <w:end w:w="120" w:type="dxa"/>
            </w:tcMar>
            <w:vAlign w:val="top"/>
            <w:shd w:fill="F3F5F7"/>
          </w:tcPr>
          <w:p>
            <w:pPr>
              <w:spacing w:after="0"/>
            </w:pPr>
            <w:r>
              <w:rPr>
                <w:sz w:val="17"/>
              </w:rPr>
              <w:t>T021</w:t>
            </w:r>
          </w:p>
        </w:tc>
        <w:tc>
          <w:tcPr>
            <w:tcW w:type="dxa" w:w="4320"/>
            <w:tcMar>
              <w:top w:w="100" w:type="dxa"/>
              <w:start w:w="120" w:type="dxa"/>
              <w:bottom w:w="100" w:type="dxa"/>
              <w:end w:w="120" w:type="dxa"/>
            </w:tcMar>
            <w:vAlign w:val="top"/>
            <w:shd w:fill="F3F5F7"/>
          </w:tcPr>
          <w:p>
            <w:pPr>
              <w:spacing w:after="0"/>
            </w:pPr>
            <w:r>
              <w:rPr>
                <w:sz w:val="17"/>
              </w:rPr>
              <w:t>Implements evidence-backed combination.</w:t>
            </w:r>
          </w:p>
        </w:tc>
      </w:tr>
      <w:tr>
        <w:tc>
          <w:tcPr>
            <w:tcW w:type="dxa" w:w="1008"/>
            <w:tcMar>
              <w:top w:w="100" w:type="dxa"/>
              <w:start w:w="120" w:type="dxa"/>
              <w:bottom w:w="100" w:type="dxa"/>
              <w:end w:w="120" w:type="dxa"/>
            </w:tcMar>
            <w:vAlign w:val="top"/>
          </w:tcPr>
          <w:p>
            <w:pPr>
              <w:spacing w:after="0"/>
            </w:pPr>
            <w:r>
              <w:rPr>
                <w:b/>
                <w:sz w:val="17"/>
              </w:rPr>
              <w:t>T023</w:t>
            </w:r>
          </w:p>
        </w:tc>
        <w:tc>
          <w:tcPr>
            <w:tcW w:type="dxa" w:w="2520"/>
            <w:tcMar>
              <w:top w:w="100" w:type="dxa"/>
              <w:start w:w="120" w:type="dxa"/>
              <w:bottom w:w="100" w:type="dxa"/>
              <w:end w:w="120" w:type="dxa"/>
            </w:tcMar>
            <w:vAlign w:val="top"/>
          </w:tcPr>
          <w:p>
            <w:pPr>
              <w:spacing w:after="0"/>
            </w:pPr>
            <w:r>
              <w:rPr>
                <w:sz w:val="17"/>
              </w:rPr>
              <w:t>Downstream entity impact</w:t>
            </w:r>
          </w:p>
        </w:tc>
        <w:tc>
          <w:tcPr>
            <w:tcW w:type="dxa" w:w="2376"/>
            <w:tcMar>
              <w:top w:w="100" w:type="dxa"/>
              <w:start w:w="120" w:type="dxa"/>
              <w:bottom w:w="100" w:type="dxa"/>
              <w:end w:w="120" w:type="dxa"/>
            </w:tcMar>
            <w:vAlign w:val="top"/>
          </w:tcPr>
          <w:p>
            <w:pPr>
              <w:spacing w:after="0"/>
            </w:pPr>
            <w:r>
              <w:rPr>
                <w:sz w:val="17"/>
              </w:rPr>
              <w:t>T022</w:t>
            </w:r>
          </w:p>
        </w:tc>
        <w:tc>
          <w:tcPr>
            <w:tcW w:type="dxa" w:w="4320"/>
            <w:tcMar>
              <w:top w:w="100" w:type="dxa"/>
              <w:start w:w="120" w:type="dxa"/>
              <w:bottom w:w="100" w:type="dxa"/>
              <w:end w:w="120" w:type="dxa"/>
            </w:tcMar>
            <w:vAlign w:val="top"/>
          </w:tcPr>
          <w:p>
            <w:pPr>
              <w:spacing w:after="0"/>
            </w:pPr>
            <w:r>
              <w:rPr>
                <w:sz w:val="17"/>
              </w:rPr>
              <w:t>Tests whether gains matter to the actual project objective.</w:t>
            </w:r>
          </w:p>
        </w:tc>
      </w:tr>
    </w:tbl>
    <w:p/>
    <w:p>
      <w:pPr>
        <w:pStyle w:val="Heading1"/>
      </w:pPr>
      <w:r>
        <w:t>10. Decisions to preserve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520"/>
            <w:shd w:fill="18324A"/>
            <w:tcMar>
              <w:top w:w="100" w:type="dxa"/>
              <w:start w:w="120" w:type="dxa"/>
              <w:bottom w:w="100" w:type="dxa"/>
              <w:end w:w="120" w:type="dxa"/>
            </w:tcMar>
          </w:tcPr>
          <w:p>
            <w:r>
              <w:rPr>
                <w:b/>
                <w:color w:val="FFFFFF"/>
                <w:sz w:val="19"/>
              </w:rPr>
              <w:t>Item</w:t>
            </w:r>
          </w:p>
        </w:tc>
        <w:tc>
          <w:tcPr>
            <w:tcW w:type="dxa" w:w="7632"/>
            <w:shd w:fill="18324A"/>
            <w:tcMar>
              <w:top w:w="100" w:type="dxa"/>
              <w:start w:w="120" w:type="dxa"/>
              <w:bottom w:w="100" w:type="dxa"/>
              <w:end w:w="120" w:type="dxa"/>
            </w:tcMar>
          </w:tcPr>
          <w:p>
            <w:r>
              <w:rPr>
                <w:b/>
                <w:color w:val="FFFFFF"/>
                <w:sz w:val="19"/>
              </w:rPr>
              <w:t>Description</w:t>
            </w:r>
          </w:p>
        </w:tc>
      </w:tr>
      <w:tr>
        <w:tc>
          <w:tcPr>
            <w:tcW w:type="dxa" w:w="2520"/>
            <w:vAlign w:val="top"/>
            <w:tcMar>
              <w:top w:w="100" w:type="dxa"/>
              <w:start w:w="120" w:type="dxa"/>
              <w:bottom w:w="100" w:type="dxa"/>
              <w:end w:w="120" w:type="dxa"/>
            </w:tcMar>
          </w:tcPr>
          <w:p>
            <w:pPr>
              <w:spacing w:after="0"/>
            </w:pPr>
            <w:r>
              <w:rPr>
                <w:b/>
                <w:sz w:val="18"/>
              </w:rPr>
              <w:t>Do not equate recency with quality</w:t>
            </w:r>
          </w:p>
        </w:tc>
        <w:tc>
          <w:tcPr>
            <w:tcW w:type="dxa" w:w="7632"/>
            <w:vAlign w:val="top"/>
            <w:tcMar>
              <w:top w:w="100" w:type="dxa"/>
              <w:start w:w="120" w:type="dxa"/>
              <w:bottom w:w="100" w:type="dxa"/>
              <w:end w:w="120" w:type="dxa"/>
            </w:tcMar>
          </w:tcPr>
          <w:p>
            <w:pPr>
              <w:spacing w:after="0"/>
            </w:pPr>
            <w:r>
              <w:rPr>
                <w:sz w:val="18"/>
              </w:rPr>
              <w:t>Ab3P and Schwartz–Hearst remain serious baselines. The goal is measured improvement, not replacement because the code is old.</w:t>
            </w:r>
          </w:p>
        </w:tc>
      </w:tr>
      <w:tr>
        <w:tc>
          <w:tcPr>
            <w:tcW w:type="dxa" w:w="2520"/>
            <w:vAlign w:val="top"/>
            <w:tcMar>
              <w:top w:w="100" w:type="dxa"/>
              <w:start w:w="120" w:type="dxa"/>
              <w:bottom w:w="100" w:type="dxa"/>
              <w:end w:w="120" w:type="dxa"/>
            </w:tcMar>
            <w:shd w:fill="F3F5F7"/>
          </w:tcPr>
          <w:p>
            <w:pPr>
              <w:spacing w:after="0"/>
            </w:pPr>
            <w:r>
              <w:rPr>
                <w:b/>
                <w:sz w:val="18"/>
              </w:rPr>
              <w:t>PLODv2 is promising but incomplete</w:t>
            </w:r>
          </w:p>
        </w:tc>
        <w:tc>
          <w:tcPr>
            <w:tcW w:type="dxa" w:w="7632"/>
            <w:vAlign w:val="top"/>
            <w:tcMar>
              <w:top w:w="100" w:type="dxa"/>
              <w:start w:w="120" w:type="dxa"/>
              <w:bottom w:w="100" w:type="dxa"/>
              <w:end w:w="120" w:type="dxa"/>
            </w:tcMar>
            <w:shd w:fill="F3F5F7"/>
          </w:tcPr>
          <w:p>
            <w:pPr>
              <w:spacing w:after="0"/>
            </w:pPr>
            <w:r>
              <w:rPr>
                <w:sz w:val="18"/>
              </w:rPr>
              <w:t>Its span predictions still require reliable pairing and may miss easy pattern cases; evaluate it as complementary evidence.</w:t>
            </w:r>
          </w:p>
        </w:tc>
      </w:tr>
      <w:tr>
        <w:tc>
          <w:tcPr>
            <w:tcW w:type="dxa" w:w="2520"/>
            <w:vAlign w:val="top"/>
            <w:tcMar>
              <w:top w:w="100" w:type="dxa"/>
              <w:start w:w="120" w:type="dxa"/>
              <w:bottom w:w="100" w:type="dxa"/>
              <w:end w:w="120" w:type="dxa"/>
            </w:tcMar>
          </w:tcPr>
          <w:p>
            <w:pPr>
              <w:spacing w:after="0"/>
            </w:pPr>
            <w:r>
              <w:rPr>
                <w:b/>
                <w:sz w:val="18"/>
              </w:rPr>
              <w:t>Current literature is mandatory</w:t>
            </w:r>
          </w:p>
        </w:tc>
        <w:tc>
          <w:tcPr>
            <w:tcW w:type="dxa" w:w="7632"/>
            <w:vAlign w:val="top"/>
            <w:tcMar>
              <w:top w:w="100" w:type="dxa"/>
              <w:start w:w="120" w:type="dxa"/>
              <w:bottom w:w="100" w:type="dxa"/>
              <w:end w:w="120" w:type="dxa"/>
            </w:tcMar>
          </w:tcPr>
          <w:p>
            <w:pPr>
              <w:spacing w:after="0"/>
            </w:pPr>
            <w:r>
              <w:rPr>
                <w:sz w:val="18"/>
              </w:rPr>
              <w:t>Historical datasets are insufficient for a production decision about PubMed/PMC in the current era.</w:t>
            </w:r>
          </w:p>
        </w:tc>
      </w:tr>
      <w:tr>
        <w:tc>
          <w:tcPr>
            <w:tcW w:type="dxa" w:w="2520"/>
            <w:vAlign w:val="top"/>
            <w:tcMar>
              <w:top w:w="100" w:type="dxa"/>
              <w:start w:w="120" w:type="dxa"/>
              <w:bottom w:w="100" w:type="dxa"/>
              <w:end w:w="120" w:type="dxa"/>
            </w:tcMar>
            <w:shd w:fill="F3F5F7"/>
          </w:tcPr>
          <w:p>
            <w:pPr>
              <w:spacing w:after="0"/>
            </w:pPr>
            <w:r>
              <w:rPr>
                <w:b/>
                <w:sz w:val="18"/>
              </w:rPr>
              <w:t>Lists have multiple roles</w:t>
            </w:r>
          </w:p>
        </w:tc>
        <w:tc>
          <w:tcPr>
            <w:tcW w:type="dxa" w:w="7632"/>
            <w:vAlign w:val="top"/>
            <w:tcMar>
              <w:top w:w="100" w:type="dxa"/>
              <w:start w:w="120" w:type="dxa"/>
              <w:bottom w:w="100" w:type="dxa"/>
              <w:end w:w="120" w:type="dxa"/>
            </w:tcMar>
            <w:shd w:fill="F3F5F7"/>
          </w:tcPr>
          <w:p>
            <w:pPr>
              <w:spacing w:after="0"/>
            </w:pPr>
            <w:r>
              <w:rPr>
                <w:sz w:val="18"/>
              </w:rPr>
              <w:t>Do not prematurely decide that the 2024 abbreviation list is only a dictionary or only a sampling aid; test each use separately.</w:t>
            </w:r>
          </w:p>
        </w:tc>
      </w:tr>
      <w:tr>
        <w:tc>
          <w:tcPr>
            <w:tcW w:type="dxa" w:w="2520"/>
            <w:vAlign w:val="top"/>
            <w:tcMar>
              <w:top w:w="100" w:type="dxa"/>
              <w:start w:w="120" w:type="dxa"/>
              <w:bottom w:w="100" w:type="dxa"/>
              <w:end w:w="120" w:type="dxa"/>
            </w:tcMar>
          </w:tcPr>
          <w:p>
            <w:pPr>
              <w:spacing w:after="0"/>
            </w:pPr>
            <w:r>
              <w:rPr>
                <w:b/>
                <w:sz w:val="18"/>
              </w:rPr>
              <w:t>Reproducibility is part of the result</w:t>
            </w:r>
          </w:p>
        </w:tc>
        <w:tc>
          <w:tcPr>
            <w:tcW w:type="dxa" w:w="7632"/>
            <w:vAlign w:val="top"/>
            <w:tcMar>
              <w:top w:w="100" w:type="dxa"/>
              <w:start w:w="120" w:type="dxa"/>
              <w:bottom w:w="100" w:type="dxa"/>
              <w:end w:w="120" w:type="dxa"/>
            </w:tcMar>
          </w:tcPr>
          <w:p>
            <w:pPr>
              <w:spacing w:after="0"/>
            </w:pPr>
            <w:r>
              <w:rPr>
                <w:sz w:val="18"/>
              </w:rPr>
              <w:t>Model/executable identity, raw-data provenance, cache keys, and experiment identity must remain explicit.</w:t>
            </w:r>
          </w:p>
        </w:tc>
      </w:tr>
      <w:tr>
        <w:tc>
          <w:tcPr>
            <w:tcW w:type="dxa" w:w="2520"/>
            <w:vAlign w:val="top"/>
            <w:tcMar>
              <w:top w:w="100" w:type="dxa"/>
              <w:start w:w="120" w:type="dxa"/>
              <w:bottom w:w="100" w:type="dxa"/>
              <w:end w:w="120" w:type="dxa"/>
            </w:tcMar>
            <w:shd w:fill="F3F5F7"/>
          </w:tcPr>
          <w:p>
            <w:pPr>
              <w:spacing w:after="0"/>
            </w:pPr>
            <w:r>
              <w:rPr>
                <w:b/>
                <w:sz w:val="18"/>
              </w:rPr>
              <w:t>Benchmark before ensemble</w:t>
            </w:r>
          </w:p>
        </w:tc>
        <w:tc>
          <w:tcPr>
            <w:tcW w:type="dxa" w:w="7632"/>
            <w:vAlign w:val="top"/>
            <w:tcMar>
              <w:top w:w="100" w:type="dxa"/>
              <w:start w:w="120" w:type="dxa"/>
              <w:bottom w:w="100" w:type="dxa"/>
              <w:end w:w="120" w:type="dxa"/>
            </w:tcMar>
            <w:shd w:fill="F3F5F7"/>
          </w:tcPr>
          <w:p>
            <w:pPr>
              <w:spacing w:after="0"/>
            </w:pPr>
            <w:r>
              <w:rPr>
                <w:sz w:val="18"/>
              </w:rPr>
              <w:t>Measure resolver disagreement and oracle headroom before engineering sophisticated fusion.</w:t>
            </w:r>
          </w:p>
        </w:tc>
      </w:tr>
    </w:tbl>
    <w:p>
      <w:pPr>
        <w:spacing w:after="0"/>
      </w:pPr>
    </w:p>
    <w:p>
      <w:pPr>
        <w:pStyle w:val="Heading1"/>
      </w:pPr>
      <w:r>
        <w:t>11. Open questions for the next collaborator</w:t>
      </w:r>
    </w:p>
    <w:p>
      <w:pPr>
        <w:pStyle w:val="ListBullet"/>
      </w:pPr>
      <w:r>
        <w:t>What exactly changed in T016, and which of the work packages above are already partially implemented? Review the T016 completion log and reconcile it with this handoff before assigning new task numbers.</w:t>
      </w:r>
    </w:p>
    <w:p>
      <w:pPr>
        <w:pStyle w:val="ListBullet"/>
      </w:pPr>
      <w:r>
        <w:t>What is the preferred distributable path for Ab3P in development/CI, given executable availability and licensing constraints?</w:t>
      </w:r>
    </w:p>
    <w:p>
      <w:pPr>
        <w:pStyle w:val="ListBullet"/>
      </w:pPr>
      <w:r>
        <w:t>How should PLODv2 spans be paired when several SF/LF candidates occur in the same local context? Start simple, but make the choice explicit and testable.</w:t>
      </w:r>
    </w:p>
    <w:p>
      <w:pPr>
        <w:pStyle w:val="ListBullet"/>
      </w:pPr>
      <w:r>
        <w:t>What annotation budget is realistic for the contemporary evaluation set, and will there be independent double annotation for a subset?</w:t>
      </w:r>
    </w:p>
    <w:p>
      <w:pPr>
        <w:pStyle w:val="ListBullet"/>
      </w:pPr>
      <w:r>
        <w:t>Is the production target abstracts only, PMC full text, or both? The benchmark should mirror that deployment mix.</w:t>
      </w:r>
    </w:p>
    <w:p>
      <w:pPr>
        <w:pStyle w:val="ListBullet"/>
      </w:pPr>
      <w:r>
        <w:t>Should global abbreviation fallback be part of this repository or remain a separate downstream layer? Keep metrics separate either way.</w:t>
      </w:r>
    </w:p>
    <w:p>
      <w:pPr>
        <w:pStyle w:val="Heading1"/>
      </w:pPr>
      <w:r>
        <w:t>12. First session checklist for GPT-6 Astra</w:t>
      </w:r>
    </w:p>
    <w:p>
      <w:pPr>
        <w:pStyle w:val="ListNumber"/>
      </w:pPr>
      <w:r>
        <w:t>Read the project vision document and the T016 completion log.</w:t>
      </w:r>
    </w:p>
    <w:p>
      <w:pPr>
        <w:pStyle w:val="ListNumber"/>
      </w:pPr>
      <w:r>
        <w:t>Inspect the repository tree, README/setup instructions, resolver registry, corpus configs, orchestration entry points, and current tests.</w:t>
      </w:r>
    </w:p>
    <w:p>
      <w:pPr>
        <w:pStyle w:val="ListNumber"/>
      </w:pPr>
      <w:r>
        <w:t>Attempt the canonical fresh-environment end-to-end run before proposing architecture changes.</w:t>
      </w:r>
    </w:p>
    <w:p>
      <w:pPr>
        <w:pStyle w:val="ListNumber"/>
      </w:pPr>
      <w:r>
        <w:t>Write down every blocker as one of: dependency, configuration, data availability, model/executable availability, path/platform issue, runtime bug, or documentation gap.</w:t>
      </w:r>
    </w:p>
    <w:p>
      <w:pPr>
        <w:pStyle w:val="ListNumber"/>
      </w:pPr>
      <w:r>
        <w:t>Fix the smallest set of blockers needed to satisfy T017 acceptance criteria.</w:t>
      </w:r>
    </w:p>
    <w:p>
      <w:pPr>
        <w:pStyle w:val="ListNumber"/>
      </w:pPr>
      <w:r>
        <w:t>Then design T018 (PLODv2) against the actual resolver interface and evaluation schema rather than in isolation.</w:t>
      </w:r>
    </w:p>
    <w:p>
      <w:pPr>
        <w:pStyle w:val="ListNumber"/>
      </w:pPr>
      <w:r>
        <w:t>Use benchmark disagreement—not intuition—to decide what hybridization work deserves priority.</w:t>
      </w:r>
    </w:p>
    <w:p>
      <w:pPr>
        <w:pStyle w:val="Heading1"/>
      </w:pPr>
      <w:r>
        <w:t>13. Definition of the next milestone</w:t>
      </w:r>
    </w:p>
    <w:tbl>
      <w:tblPr>
        <w:tblW w:type="auto" w:w="0"/>
        <w:jc w:val="center"/>
        <w:tblLayout w:type="autofit"/>
        <w:tblLook w:firstColumn="1" w:firstRow="1" w:lastColumn="0" w:lastRow="0" w:noHBand="0" w:noVBand="1" w:val="04A0"/>
      </w:tblPr>
      <w:tblGrid>
        <w:gridCol w:w="9878"/>
      </w:tblGrid>
      <w:tr>
        <w:tc>
          <w:tcPr>
            <w:tcW w:type="dxa" w:w="9878"/>
            <w:shd w:fill="EAF4EE"/>
            <w:tcMar>
              <w:top w:w="150" w:type="dxa"/>
              <w:start w:w="180" w:type="dxa"/>
              <w:bottom w:w="150" w:type="dxa"/>
              <w:end w:w="180" w:type="dxa"/>
            </w:tcMar>
          </w:tcPr>
          <w:p>
            <w:pPr>
              <w:pStyle w:val="Callout"/>
            </w:pPr>
            <w:r>
              <w:rPr>
                <w:b/>
              </w:rPr>
              <w:t xml:space="preserve">Milestone: </w:t>
            </w:r>
            <w:r>
              <w:t>A reproducible command can run real Schwartz–Hearst, real Ab3P, and PLODv2 against at least one historical benchmark and a first contemporary PubMed/PMC pilot; the framework reports comparable metrics and disagreement/error summaries; and the 2024 abbreviation-frequency resource can be queried for sampling and analysis. At that point, the project is ready to make an evidence-based decision about hybrid resolution.</w:t>
            </w:r>
          </w:p>
        </w:tc>
      </w:tr>
    </w:tbl>
    <w:p>
      <w:pPr>
        <w:spacing w:after="0"/>
      </w:pP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27D"/>
        <w:sz w:val="16"/>
      </w:rPr>
      <w:t xml:space="preserve">Abbreviation Resolution Project  |  </w:t>
    </w:r>
    <w:r>
      <w:rPr>
        <w:color w:val="66727D"/>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D25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D7C"/>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F5D7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32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Display" w:hAnsi="Aptos Display"/>
      <w:b w:val="0"/>
      <w:i/>
      <w:iCs/>
      <w:color w:val="6672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line="269" w:lineRule="auto"/>
      <w:ind w:left="259" w:right="259"/>
    </w:pPr>
    <w:rPr>
      <w:rFonts w:ascii="Aptos" w:hAnsi="Aptos"/>
      <w:color w:val="18324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