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Vision: High-Accuracy Local Abbreviation Resolution</w:t>
      </w:r>
    </w:p>
    <w:p>
      <w:pPr>
        <w:pStyle w:val="Subtitle"/>
      </w:pPr>
      <w:r>
        <w:t>Why this project exists, what it is trying to achieve, and the high-level strategy for getting there</w:t>
      </w:r>
    </w:p>
    <w:tbl>
      <w:tblPr>
        <w:tblW w:type="auto" w:w="0"/>
        <w:jc w:val="left"/>
        <w:tblLayout w:type="fixed"/>
        <w:tblLook w:firstColumn="1" w:firstRow="1" w:lastColumn="0" w:lastRow="0" w:noHBand="0" w:noVBand="1" w:val="04A0"/>
      </w:tblPr>
      <w:tblGrid>
        <w:gridCol w:w="3293"/>
        <w:gridCol w:w="3293"/>
        <w:gridCol w:w="3293"/>
      </w:tblGrid>
      <w:tr>
        <w:tc>
          <w:tcPr>
            <w:tcW w:type="dxa" w:w="2880"/>
            <w:shd w:fill="EAF2F7"/>
            <w:tcMar>
              <w:top w:w="100" w:type="dxa"/>
              <w:start w:w="120" w:type="dxa"/>
              <w:bottom w:w="100" w:type="dxa"/>
              <w:end w:w="120" w:type="dxa"/>
            </w:tcMar>
          </w:tcPr>
          <w:p>
            <w:r>
              <w:rPr>
                <w:b/>
                <w:color w:val="2F5D7C"/>
                <w:sz w:val="16"/>
              </w:rPr>
              <w:t>STATUS</w:t>
              <w:br/>
            </w:r>
            <w:r>
              <w:rPr>
                <w:color w:val="1D252C"/>
                <w:sz w:val="19"/>
              </w:rPr>
              <w:t>Working project brief</w:t>
            </w:r>
          </w:p>
        </w:tc>
        <w:tc>
          <w:tcPr>
            <w:tcW w:type="dxa" w:w="3384"/>
            <w:shd w:fill="EAF2F7"/>
            <w:tcMar>
              <w:top w:w="100" w:type="dxa"/>
              <w:start w:w="120" w:type="dxa"/>
              <w:bottom w:w="100" w:type="dxa"/>
              <w:end w:w="120" w:type="dxa"/>
            </w:tcMar>
          </w:tcPr>
          <w:p>
            <w:r>
              <w:rPr>
                <w:b/>
                <w:color w:val="2F5D7C"/>
                <w:sz w:val="16"/>
              </w:rPr>
              <w:t>PREPARED</w:t>
              <w:br/>
            </w:r>
            <w:r>
              <w:rPr>
                <w:color w:val="1D252C"/>
                <w:sz w:val="19"/>
              </w:rPr>
              <w:t>September 6, 2026</w:t>
            </w:r>
          </w:p>
        </w:tc>
        <w:tc>
          <w:tcPr>
            <w:tcW w:type="dxa" w:w="3384"/>
            <w:shd w:fill="EAF2F7"/>
            <w:tcMar>
              <w:top w:w="100" w:type="dxa"/>
              <w:start w:w="120" w:type="dxa"/>
              <w:bottom w:w="100" w:type="dxa"/>
              <w:end w:w="120" w:type="dxa"/>
            </w:tcMar>
          </w:tcPr>
          <w:p>
            <w:r>
              <w:rPr>
                <w:b/>
                <w:color w:val="2F5D7C"/>
                <w:sz w:val="16"/>
              </w:rPr>
              <w:t>AUDIENCE</w:t>
              <w:br/>
            </w:r>
            <w:r>
              <w:rPr>
                <w:color w:val="1D252C"/>
                <w:sz w:val="19"/>
              </w:rPr>
              <w:t>Project collaborator / GPT-6 Astra</w:t>
            </w:r>
          </w:p>
        </w:tc>
      </w:tr>
    </w:tbl>
    <w:p/>
    <w:tbl>
      <w:tblPr>
        <w:tblW w:type="auto" w:w="0"/>
        <w:jc w:val="center"/>
        <w:tblLayout w:type="autofit"/>
        <w:tblLook w:firstColumn="1" w:firstRow="1" w:lastColumn="0" w:lastRow="0" w:noHBand="0" w:noVBand="1" w:val="04A0"/>
      </w:tblPr>
      <w:tblGrid>
        <w:gridCol w:w="9878"/>
      </w:tblGrid>
      <w:tr>
        <w:tc>
          <w:tcPr>
            <w:tcW w:type="dxa" w:w="9878"/>
            <w:shd w:fill="EAF2F7"/>
            <w:tcMar>
              <w:top w:w="150" w:type="dxa"/>
              <w:start w:w="180" w:type="dxa"/>
              <w:bottom w:w="150" w:type="dxa"/>
              <w:end w:w="180" w:type="dxa"/>
            </w:tcMar>
          </w:tcPr>
          <w:p>
            <w:pPr>
              <w:pStyle w:val="Callout"/>
            </w:pPr>
            <w:r>
              <w:rPr>
                <w:b/>
              </w:rPr>
              <w:t xml:space="preserve">North star: </w:t>
            </w:r>
            <w:r>
              <w:t>Build a reproducible, evidence-driven abbreviation-resolution layer for biomedical literature that is strong enough not to become the dominant residual error source in a modern entity-extraction pipeline. The likely endpoint is a hybrid of complementary resolvers—not a fashionable replacement of a strong legacy method for its own sake.</w:t>
            </w:r>
          </w:p>
        </w:tc>
      </w:tr>
    </w:tbl>
    <w:p>
      <w:pPr>
        <w:spacing w:after="0"/>
      </w:pPr>
    </w:p>
    <w:p>
      <w:pPr>
        <w:pStyle w:val="Heading1"/>
      </w:pPr>
      <w:r>
        <w:t>1. Context and motivation</w:t>
      </w:r>
    </w:p>
    <w:p>
      <w:r>
        <w:t>The broader application is high-quality extraction of biomedical entities—initially with a strong interest in cell phenotypes—from PubMed and PubMed Central. Local abbreviations matter because an entity mention often appears once in a long form and then repeatedly in a short form. If the short form cannot be linked reliably to its local definition, downstream entity recognition, normalization, and aggregation can lose otherwise-correct mentions.</w:t>
      </w:r>
    </w:p>
    <w:p>
      <w:r>
        <w:t>This project started from an uncomfortable asymmetry. The surrounding NLP pipeline is moving toward substantially stronger methods, while the abbreviation layer is still commonly handled by algorithms from the early 2000s: Schwartz–Hearst (2003) and Ab3P (2008) remain important practical baselines. Their age is not, by itself, a defect. In fact, the structure of local abbreviation definitions makes pattern-based methods surprisingly strong. The problem is that once other stages improve, the remaining abbreviation failures stop being negligible and can become a major share of total pipeline error.</w:t>
      </w:r>
    </w:p>
    <w:p>
      <w:pPr>
        <w:pStyle w:val="Heading1"/>
      </w:pPr>
      <w:r>
        <w:t>2. The problem being solved</w:t>
      </w:r>
    </w:p>
    <w:p>
      <w:r>
        <w:t>The core task is local abbreviation definition detection and resolution: identify a short form (SF) and its corresponding long form (LF) when the relationship is stated or strongly implied in the same document. Typical examples include “long form (SF)” and reverse-order constructions, but production biomedical text contains many punctuation, tokenization, nesting, boundary, and formatting variants.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520"/>
            <w:shd w:fill="18324A"/>
            <w:tcMar>
              <w:top w:w="100" w:type="dxa"/>
              <w:start w:w="120" w:type="dxa"/>
              <w:bottom w:w="100" w:type="dxa"/>
              <w:end w:w="120" w:type="dxa"/>
            </w:tcMar>
          </w:tcPr>
          <w:p>
            <w:r>
              <w:rPr>
                <w:b/>
                <w:color w:val="FFFFFF"/>
                <w:sz w:val="19"/>
              </w:rPr>
              <w:t>Item</w:t>
            </w:r>
          </w:p>
        </w:tc>
        <w:tc>
          <w:tcPr>
            <w:tcW w:type="dxa" w:w="7632"/>
            <w:shd w:fill="18324A"/>
            <w:tcMar>
              <w:top w:w="100" w:type="dxa"/>
              <w:start w:w="120" w:type="dxa"/>
              <w:bottom w:w="100" w:type="dxa"/>
              <w:end w:w="120" w:type="dxa"/>
            </w:tcMar>
          </w:tcPr>
          <w:p>
            <w:r>
              <w:rPr>
                <w:b/>
                <w:color w:val="FFFFFF"/>
                <w:sz w:val="19"/>
              </w:rPr>
              <w:t>Description</w:t>
            </w:r>
          </w:p>
        </w:tc>
      </w:tr>
      <w:tr>
        <w:tc>
          <w:tcPr>
            <w:tcW w:type="dxa" w:w="2520"/>
            <w:vAlign w:val="top"/>
            <w:tcMar>
              <w:top w:w="100" w:type="dxa"/>
              <w:start w:w="120" w:type="dxa"/>
              <w:bottom w:w="100" w:type="dxa"/>
              <w:end w:w="120" w:type="dxa"/>
            </w:tcMar>
          </w:tcPr>
          <w:p>
            <w:pPr>
              <w:spacing w:after="0"/>
            </w:pPr>
            <w:r>
              <w:rPr>
                <w:b/>
                <w:sz w:val="18"/>
              </w:rPr>
              <w:t>Primary task</w:t>
            </w:r>
          </w:p>
        </w:tc>
        <w:tc>
          <w:tcPr>
            <w:tcW w:type="dxa" w:w="7632"/>
            <w:vAlign w:val="top"/>
            <w:tcMar>
              <w:top w:w="100" w:type="dxa"/>
              <w:start w:w="120" w:type="dxa"/>
              <w:bottom w:w="100" w:type="dxa"/>
              <w:end w:w="120" w:type="dxa"/>
            </w:tcMar>
          </w:tcPr>
          <w:p>
            <w:pPr>
              <w:spacing w:after="0"/>
            </w:pPr>
            <w:r>
              <w:rPr>
                <w:sz w:val="18"/>
              </w:rPr>
              <w:t>Detect and pair local SF–LF definitions in biomedical abstracts and full text.</w:t>
            </w:r>
          </w:p>
        </w:tc>
      </w:tr>
      <w:tr>
        <w:tc>
          <w:tcPr>
            <w:tcW w:type="dxa" w:w="2520"/>
            <w:vAlign w:val="top"/>
            <w:tcMar>
              <w:top w:w="100" w:type="dxa"/>
              <w:start w:w="120" w:type="dxa"/>
              <w:bottom w:w="100" w:type="dxa"/>
              <w:end w:w="120" w:type="dxa"/>
            </w:tcMar>
            <w:shd w:fill="F3F5F7"/>
          </w:tcPr>
          <w:p>
            <w:pPr>
              <w:spacing w:after="0"/>
            </w:pPr>
            <w:r>
              <w:rPr>
                <w:b/>
                <w:sz w:val="18"/>
              </w:rPr>
              <w:t>Downstream purpose</w:t>
            </w:r>
          </w:p>
        </w:tc>
        <w:tc>
          <w:tcPr>
            <w:tcW w:type="dxa" w:w="7632"/>
            <w:vAlign w:val="top"/>
            <w:tcMar>
              <w:top w:w="100" w:type="dxa"/>
              <w:start w:w="120" w:type="dxa"/>
              <w:bottom w:w="100" w:type="dxa"/>
              <w:end w:w="120" w:type="dxa"/>
            </w:tcMar>
            <w:shd w:fill="F3F5F7"/>
          </w:tcPr>
          <w:p>
            <w:pPr>
              <w:spacing w:after="0"/>
            </w:pPr>
            <w:r>
              <w:rPr>
                <w:sz w:val="18"/>
              </w:rPr>
              <w:t>Use those pairs to improve entity linkage and interpretation throughout the article.</w:t>
            </w:r>
          </w:p>
        </w:tc>
      </w:tr>
      <w:tr>
        <w:tc>
          <w:tcPr>
            <w:tcW w:type="dxa" w:w="2520"/>
            <w:vAlign w:val="top"/>
            <w:tcMar>
              <w:top w:w="100" w:type="dxa"/>
              <w:start w:w="120" w:type="dxa"/>
              <w:bottom w:w="100" w:type="dxa"/>
              <w:end w:w="120" w:type="dxa"/>
            </w:tcMar>
          </w:tcPr>
          <w:p>
            <w:pPr>
              <w:spacing w:after="0"/>
            </w:pPr>
            <w:r>
              <w:rPr>
                <w:b/>
                <w:sz w:val="18"/>
              </w:rPr>
              <w:t>Not the main task</w:t>
            </w:r>
          </w:p>
        </w:tc>
        <w:tc>
          <w:tcPr>
            <w:tcW w:type="dxa" w:w="7632"/>
            <w:vAlign w:val="top"/>
            <w:tcMar>
              <w:top w:w="100" w:type="dxa"/>
              <w:start w:w="120" w:type="dxa"/>
              <w:bottom w:w="100" w:type="dxa"/>
              <w:end w:w="120" w:type="dxa"/>
            </w:tcMar>
          </w:tcPr>
          <w:p>
            <w:pPr>
              <w:spacing w:after="0"/>
            </w:pPr>
            <w:r>
              <w:rPr>
                <w:sz w:val="18"/>
              </w:rPr>
              <w:t>Global acronym sense disambiguation when an article never defines the abbreviation locally.</w:t>
            </w:r>
          </w:p>
        </w:tc>
      </w:tr>
      <w:tr>
        <w:tc>
          <w:tcPr>
            <w:tcW w:type="dxa" w:w="2520"/>
            <w:vAlign w:val="top"/>
            <w:tcMar>
              <w:top w:w="100" w:type="dxa"/>
              <w:start w:w="120" w:type="dxa"/>
              <w:bottom w:w="100" w:type="dxa"/>
              <w:end w:w="120" w:type="dxa"/>
            </w:tcMar>
            <w:shd w:fill="F3F5F7"/>
          </w:tcPr>
          <w:p>
            <w:pPr>
              <w:spacing w:after="0"/>
            </w:pPr>
            <w:r>
              <w:rPr>
                <w:b/>
                <w:sz w:val="18"/>
              </w:rPr>
              <w:t>Practical requirement</w:t>
            </w:r>
          </w:p>
        </w:tc>
        <w:tc>
          <w:tcPr>
            <w:tcW w:type="dxa" w:w="7632"/>
            <w:vAlign w:val="top"/>
            <w:tcMar>
              <w:top w:w="100" w:type="dxa"/>
              <w:start w:w="120" w:type="dxa"/>
              <w:bottom w:w="100" w:type="dxa"/>
              <w:end w:w="120" w:type="dxa"/>
            </w:tcMar>
            <w:shd w:fill="F3F5F7"/>
          </w:tcPr>
          <w:p>
            <w:pPr>
              <w:spacing w:after="0"/>
            </w:pPr>
            <w:r>
              <w:rPr>
                <w:sz w:val="18"/>
              </w:rPr>
              <w:t>High precision and high recall under real PubMed/PMC text, with provenance and reproducibility.</w:t>
            </w:r>
          </w:p>
        </w:tc>
      </w:tr>
    </w:tbl>
    <w:p>
      <w:pPr>
        <w:spacing w:after="0"/>
      </w:pPr>
    </w:p>
    <w:p>
      <w:pPr>
        <w:pStyle w:val="Heading1"/>
      </w:pPr>
      <w:r>
        <w:t>3. What the early investigation changed</w:t>
      </w:r>
    </w:p>
    <w:p>
      <w:r>
        <w:t>The initial question was whether a newer learned method should simply replace Ab3P. The evidence argued for a different framing.</w:t>
      </w:r>
    </w:p>
    <w:p>
      <w:pPr>
        <w:pStyle w:val="ListBullet"/>
      </w:pPr>
      <w:r>
        <w:t>Legacy pattern methods are genuinely competitive because they exploit a highly structured linguistic convention rather than attempting unconstrained semantic inference.</w:t>
      </w:r>
    </w:p>
    <w:p>
      <w:pPr>
        <w:pStyle w:val="ListBullet"/>
      </w:pPr>
      <w:r>
        <w:t>Published newer methods do not always provide usable implementations, which limits their value for an engineering project that must be reproducible.</w:t>
      </w:r>
    </w:p>
    <w:p>
      <w:pPr>
        <w:pStyle w:val="ListBullet"/>
      </w:pPr>
      <w:r>
        <w:t>The original PLOD approach performed poorly in practical testing, demonstrating that “neural” is not synonymous with “better.”</w:t>
      </w:r>
    </w:p>
    <w:p>
      <w:pPr>
        <w:pStyle w:val="ListBullet"/>
      </w:pPr>
      <w:r>
        <w:t>PLODv2 appeared materially stronger, but it is fundamentally a span-detection/classification system. That creates different failure modes: SF and LF spans still have to be paired, and some pairs that Ab3P finds easily can be missed.</w:t>
      </w:r>
    </w:p>
    <w:p>
      <w:pPr>
        <w:pStyle w:val="ListBullet"/>
      </w:pPr>
      <w:r>
        <w:t>These differences imply complementarity. A learned model may recover cases that rules miss, while a mature pattern system may remain superior on canonical definitions.</w:t>
      </w:r>
    </w:p>
    <w:tbl>
      <w:tblPr>
        <w:tblW w:type="auto" w:w="0"/>
        <w:jc w:val="center"/>
        <w:tblLayout w:type="autofit"/>
        <w:tblLook w:firstColumn="1" w:firstRow="1" w:lastColumn="0" w:lastRow="0" w:noHBand="0" w:noVBand="1" w:val="04A0"/>
      </w:tblPr>
      <w:tblGrid>
        <w:gridCol w:w="9878"/>
      </w:tblGrid>
      <w:tr>
        <w:tc>
          <w:tcPr>
            <w:tcW w:type="dxa" w:w="9878"/>
            <w:shd w:fill="EAF2F7"/>
            <w:tcMar>
              <w:top w:w="150" w:type="dxa"/>
              <w:start w:w="180" w:type="dxa"/>
              <w:bottom w:w="150" w:type="dxa"/>
              <w:end w:w="180" w:type="dxa"/>
            </w:tcMar>
          </w:tcPr>
          <w:p>
            <w:pPr>
              <w:pStyle w:val="Callout"/>
            </w:pPr>
            <w:r>
              <w:rPr>
                <w:b/>
              </w:rPr>
              <w:t xml:space="preserve">Reframed question: </w:t>
            </w:r>
            <w:r>
              <w:t>The central research question is therefore: what combination of rule-based, learned, and lexical evidence gives the best robust local abbreviation resolution on current biomedical literature?</w:t>
            </w:r>
          </w:p>
        </w:tc>
      </w:tr>
    </w:tbl>
    <w:p>
      <w:pPr>
        <w:spacing w:after="0"/>
      </w:pPr>
    </w:p>
    <w:p>
      <w:pPr>
        <w:pStyle w:val="Heading1"/>
      </w:pPr>
      <w:r>
        <w:t>4. The project vision</w:t>
      </w:r>
    </w:p>
    <w:p>
      <w:r>
        <w:t>The project should become both a practical resolver and a small experimental workbench. Every resolver should be able to consume the same document representation, emit a normalized prediction schema, and be evaluated under the same metrics and corpora. That makes it possible to compare methods fairly, inspect disagreement, estimate the headroom available from combinations, and evolve toward a production hybrid rather than hard-coding an early assumption about which method will win.</w:t>
      </w:r>
    </w:p>
    <w:p>
      <w:pPr>
        <w:pStyle w:val="Heading2"/>
      </w:pPr>
      <w:r>
        <w:t>4.1 A resolver portfolio, not a single bet</w:t>
      </w:r>
    </w:p>
    <w:p>
      <w:pPr>
        <w:pStyle w:val="ListBullet"/>
      </w:pPr>
      <w:r>
        <w:t>Strong deterministic baselines: Schwartz–Hearst-style alignment and Ab3P.</w:t>
      </w:r>
    </w:p>
    <w:p>
      <w:pPr>
        <w:pStyle w:val="ListBullet"/>
      </w:pPr>
      <w:r>
        <w:t>Learned span-based methods, beginning with PLODv2, integrated as first-class resolvers rather than one-off experiments.</w:t>
      </w:r>
    </w:p>
    <w:p>
      <w:pPr>
        <w:pStyle w:val="ListBullet"/>
      </w:pPr>
      <w:r>
        <w:t>Abbreviation lists / lexical resources that can support validation, ranking, fallback behavior, or sampling—without overriding stronger local evidence blindly.</w:t>
      </w:r>
    </w:p>
    <w:p>
      <w:pPr>
        <w:pStyle w:val="ListBullet"/>
      </w:pPr>
      <w:r>
        <w:t>Potential additional resolvers only when they offer a distinct error profile or useful comparison; novelty alone is not a reason to add one.</w:t>
      </w:r>
    </w:p>
    <w:p>
      <w:pPr>
        <w:pStyle w:val="Heading2"/>
      </w:pPr>
      <w:r>
        <w:t>4.2 A common experimental substrate</w:t>
      </w:r>
    </w:p>
    <w:p>
      <w:pPr>
        <w:pStyle w:val="ListBullet"/>
      </w:pPr>
      <w:r>
        <w:t>Normalized resolver inputs and outputs so pair-level comparison is meaningful.</w:t>
      </w:r>
    </w:p>
    <w:p>
      <w:pPr>
        <w:pStyle w:val="ListBullet"/>
      </w:pPr>
      <w:r>
        <w:t>Prediction caching whose identity includes resolver configuration and learned-model hashes, so results are reproducible and stale predictions are not silently reused.</w:t>
      </w:r>
    </w:p>
    <w:p>
      <w:pPr>
        <w:pStyle w:val="ListBullet"/>
      </w:pPr>
      <w:r>
        <w:t>Explicit provenance for raw corpora, processed corpora, models, executables, and synthetic fixtures.</w:t>
      </w:r>
    </w:p>
    <w:p>
      <w:pPr>
        <w:pStyle w:val="ListBullet"/>
      </w:pPr>
      <w:r>
        <w:t>Historical benchmark adapters plus current-literature evaluation, because old gold datasets alone cannot establish production performance in 2026 biomedical text.</w:t>
      </w:r>
    </w:p>
    <w:p>
      <w:pPr>
        <w:pStyle w:val="ListBullet"/>
      </w:pPr>
      <w:r>
        <w:t>Regression/golden tests for algorithmic behavior and a high automated test-coverage floor so experimental changes do not quietly break established behavior.</w:t>
      </w:r>
    </w:p>
    <w:p>
      <w:pPr>
        <w:pStyle w:val="Heading2"/>
      </w:pPr>
      <w:r>
        <w:t>4.3 Evaluation that exposes complementarity</w:t>
      </w:r>
    </w:p>
    <w:p>
      <w:r>
        <w:t>Aggregate F1 is necessary but not sufficient. The system should separately measure detection and pairing behavior, characterize errors, and compare intersections/unions among resolvers. An “oracle union” analysis—counting a pair as correct if any resolver found it—can show whether a hybrid has meaningful upside before engineering the hybrid itself.</w:t>
      </w:r>
    </w:p>
    <w:p>
      <w:pPr>
        <w:pStyle w:val="ListBullet"/>
      </w:pPr>
      <w:r>
        <w:t>Exact SF–LF pair precision, recall, and F1 after documented normalization.</w:t>
      </w:r>
    </w:p>
    <w:p>
      <w:pPr>
        <w:pStyle w:val="ListBullet"/>
      </w:pPr>
      <w:r>
        <w:t>Boundary-sensitive and, where useful, overlap-tolerant diagnostics.</w:t>
      </w:r>
    </w:p>
    <w:p>
      <w:pPr>
        <w:pStyle w:val="ListBullet"/>
      </w:pPr>
      <w:r>
        <w:t>Performance by construction type: canonical order, reverse order, punctuation-heavy cases, nested parentheses, multi-token short forms, and other recurring error classes.</w:t>
      </w:r>
    </w:p>
    <w:p>
      <w:pPr>
        <w:pStyle w:val="ListBullet"/>
      </w:pPr>
      <w:r>
        <w:t>Performance by corpus and publication context, including abstracts versus PMC full text.</w:t>
      </w:r>
    </w:p>
    <w:p>
      <w:pPr>
        <w:pStyle w:val="ListBullet"/>
      </w:pPr>
      <w:r>
        <w:t>Resolver agreement/disagreement and per-resolver unique true positives / unique errors.</w:t>
      </w:r>
    </w:p>
    <w:p>
      <w:pPr>
        <w:pStyle w:val="Heading1"/>
      </w:pPr>
      <w:r>
        <w:t>5. Why current-literature sampling matters</w:t>
      </w:r>
    </w:p>
    <w:p>
      <w:r>
        <w:t>A historical benchmark tells us whether the implementation is comparable with prior work; it does not tell us whether the system is good enough for the literature the downstream pipeline will actually process. The project has a particularly valuable asset for building a contemporary test set: a frequency list derived by running Ab3P over essentially all PubMed and PMC content from 2024.</w:t>
      </w:r>
    </w:p>
    <w:p>
      <w:r>
        <w:t>That list can be used to select a manageable subset of articles that covers a large share of common real-world abbreviations. The selection should not become a “common and easy only” benchmark, however. A production-oriented evaluation set should combine high-frequency coverage with deliberately sampled ambiguity, long-tail forms, difficult definition patterns, and both PubMed and PMC document types. A small unbiased holdout is also useful as a guard against optimizing only for the selection heuristic.</w:t>
      </w:r>
    </w:p>
    <w:p>
      <w:pPr>
        <w:pStyle w:val="Heading1"/>
      </w:pPr>
      <w:r>
        <w:t>6. Expected architecture of the eventual system</w:t>
      </w:r>
    </w:p>
    <w:p>
      <w:r>
        <w:t>The architecture should stay modular until the empirical evidence justifies consolidation. A plausible production flow is:</w:t>
      </w:r>
    </w:p>
    <w:p>
      <w:pPr>
        <w:pStyle w:val="ListNumber"/>
      </w:pPr>
      <w:r>
        <w:t>Run multiple candidate generators / resolvers over the document.</w:t>
      </w:r>
    </w:p>
    <w:p>
      <w:pPr>
        <w:pStyle w:val="ListNumber"/>
      </w:pPr>
      <w:r>
        <w:t>Normalize spans, text, and pair representation without erasing diagnostically important differences.</w:t>
      </w:r>
    </w:p>
    <w:p>
      <w:pPr>
        <w:pStyle w:val="ListNumber"/>
      </w:pPr>
      <w:r>
        <w:t>Merge exact duplicates and identify conflicts.</w:t>
      </w:r>
    </w:p>
    <w:p>
      <w:pPr>
        <w:pStyle w:val="ListNumber"/>
      </w:pPr>
      <w:r>
        <w:t>Score or prioritize candidates using resolver identity, local structural evidence, model confidence where meaningful, and lexical support.</w:t>
      </w:r>
    </w:p>
    <w:p>
      <w:pPr>
        <w:pStyle w:val="ListNumber"/>
      </w:pPr>
      <w:r>
        <w:t>Resolve conflicts conservatively and retain provenance for every accepted pair.</w:t>
      </w:r>
    </w:p>
    <w:p>
      <w:pPr>
        <w:pStyle w:val="ListNumber"/>
      </w:pPr>
      <w:r>
        <w:t>Expose both final pairs and diagnostic metadata to the downstream entity pipeline.</w:t>
      </w:r>
    </w:p>
    <w:p>
      <w:r>
        <w:t>A learned meta-ranker could eventually replace hand-written fusion rules, but only after enough labeled disagreement data exists. The first hybrid should be simple and interpretable so that gains and regressions can be attributed.</w:t>
      </w:r>
    </w:p>
    <w:p>
      <w:pPr>
        <w:pStyle w:val="Heading1"/>
      </w:pPr>
      <w:r>
        <w:t>7. Role of abbreviation lists</w:t>
      </w:r>
    </w:p>
    <w:p>
      <w:r>
        <w:t>“Abbreviation lists” are potentially useful in more than one way and should be treated as a resource layer rather than a single feature.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520"/>
            <w:shd w:fill="18324A"/>
            <w:tcMar>
              <w:top w:w="100" w:type="dxa"/>
              <w:start w:w="120" w:type="dxa"/>
              <w:bottom w:w="100" w:type="dxa"/>
              <w:end w:w="120" w:type="dxa"/>
            </w:tcMar>
          </w:tcPr>
          <w:p>
            <w:r>
              <w:rPr>
                <w:b/>
                <w:color w:val="FFFFFF"/>
                <w:sz w:val="19"/>
              </w:rPr>
              <w:t>Item</w:t>
            </w:r>
          </w:p>
        </w:tc>
        <w:tc>
          <w:tcPr>
            <w:tcW w:type="dxa" w:w="7632"/>
            <w:shd w:fill="18324A"/>
            <w:tcMar>
              <w:top w:w="100" w:type="dxa"/>
              <w:start w:w="120" w:type="dxa"/>
              <w:bottom w:w="100" w:type="dxa"/>
              <w:end w:w="120" w:type="dxa"/>
            </w:tcMar>
          </w:tcPr>
          <w:p>
            <w:r>
              <w:rPr>
                <w:b/>
                <w:color w:val="FFFFFF"/>
                <w:sz w:val="19"/>
              </w:rPr>
              <w:t>Description</w:t>
            </w:r>
          </w:p>
        </w:tc>
      </w:tr>
      <w:tr>
        <w:tc>
          <w:tcPr>
            <w:tcW w:type="dxa" w:w="2520"/>
            <w:vAlign w:val="top"/>
            <w:tcMar>
              <w:top w:w="100" w:type="dxa"/>
              <w:start w:w="120" w:type="dxa"/>
              <w:bottom w:w="100" w:type="dxa"/>
              <w:end w:w="120" w:type="dxa"/>
            </w:tcMar>
          </w:tcPr>
          <w:p>
            <w:pPr>
              <w:spacing w:after="0"/>
            </w:pPr>
            <w:r>
              <w:rPr>
                <w:b/>
                <w:sz w:val="18"/>
              </w:rPr>
              <w:t>Sampling</w:t>
            </w:r>
          </w:p>
        </w:tc>
        <w:tc>
          <w:tcPr>
            <w:tcW w:type="dxa" w:w="7632"/>
            <w:vAlign w:val="top"/>
            <w:tcMar>
              <w:top w:w="100" w:type="dxa"/>
              <w:start w:w="120" w:type="dxa"/>
              <w:bottom w:w="100" w:type="dxa"/>
              <w:end w:w="120" w:type="dxa"/>
            </w:tcMar>
          </w:tcPr>
          <w:p>
            <w:pPr>
              <w:spacing w:after="0"/>
            </w:pPr>
            <w:r>
              <w:rPr>
                <w:sz w:val="18"/>
              </w:rPr>
              <w:t>Use high-frequency SFs and SF–LF pairs to choose contemporary literature that covers what the production system sees most often.</w:t>
            </w:r>
          </w:p>
        </w:tc>
      </w:tr>
      <w:tr>
        <w:tc>
          <w:tcPr>
            <w:tcW w:type="dxa" w:w="2520"/>
            <w:vAlign w:val="top"/>
            <w:tcMar>
              <w:top w:w="100" w:type="dxa"/>
              <w:start w:w="120" w:type="dxa"/>
              <w:bottom w:w="100" w:type="dxa"/>
              <w:end w:w="120" w:type="dxa"/>
            </w:tcMar>
            <w:shd w:fill="F3F5F7"/>
          </w:tcPr>
          <w:p>
            <w:pPr>
              <w:spacing w:after="0"/>
            </w:pPr>
            <w:r>
              <w:rPr>
                <w:b/>
                <w:sz w:val="18"/>
              </w:rPr>
              <w:t>Validation</w:t>
            </w:r>
          </w:p>
        </w:tc>
        <w:tc>
          <w:tcPr>
            <w:tcW w:type="dxa" w:w="7632"/>
            <w:vAlign w:val="top"/>
            <w:tcMar>
              <w:top w:w="100" w:type="dxa"/>
              <w:start w:w="120" w:type="dxa"/>
              <w:bottom w:w="100" w:type="dxa"/>
              <w:end w:w="120" w:type="dxa"/>
            </w:tcMar>
            <w:shd w:fill="F3F5F7"/>
          </w:tcPr>
          <w:p>
            <w:pPr>
              <w:spacing w:after="0"/>
            </w:pPr>
            <w:r>
              <w:rPr>
                <w:sz w:val="18"/>
              </w:rPr>
              <w:t>Flag implausible LF candidates or provide supporting evidence when a local pair matches a well-established usage.</w:t>
            </w:r>
          </w:p>
        </w:tc>
      </w:tr>
      <w:tr>
        <w:tc>
          <w:tcPr>
            <w:tcW w:type="dxa" w:w="2520"/>
            <w:vAlign w:val="top"/>
            <w:tcMar>
              <w:top w:w="100" w:type="dxa"/>
              <w:start w:w="120" w:type="dxa"/>
              <w:bottom w:w="100" w:type="dxa"/>
              <w:end w:w="120" w:type="dxa"/>
            </w:tcMar>
          </w:tcPr>
          <w:p>
            <w:pPr>
              <w:spacing w:after="0"/>
            </w:pPr>
            <w:r>
              <w:rPr>
                <w:b/>
                <w:sz w:val="18"/>
              </w:rPr>
              <w:t>Ranking</w:t>
            </w:r>
          </w:p>
        </w:tc>
        <w:tc>
          <w:tcPr>
            <w:tcW w:type="dxa" w:w="7632"/>
            <w:vAlign w:val="top"/>
            <w:tcMar>
              <w:top w:w="100" w:type="dxa"/>
              <w:start w:w="120" w:type="dxa"/>
              <w:bottom w:w="100" w:type="dxa"/>
              <w:end w:w="120" w:type="dxa"/>
            </w:tcMar>
          </w:tcPr>
          <w:p>
            <w:pPr>
              <w:spacing w:after="0"/>
            </w:pPr>
            <w:r>
              <w:rPr>
                <w:sz w:val="18"/>
              </w:rPr>
              <w:t>Help break ties among multiple candidate LFs for the same SF, while preserving local-document evidence as primary.</w:t>
            </w:r>
          </w:p>
        </w:tc>
      </w:tr>
      <w:tr>
        <w:tc>
          <w:tcPr>
            <w:tcW w:type="dxa" w:w="2520"/>
            <w:vAlign w:val="top"/>
            <w:tcMar>
              <w:top w:w="100" w:type="dxa"/>
              <w:start w:w="120" w:type="dxa"/>
              <w:bottom w:w="100" w:type="dxa"/>
              <w:end w:w="120" w:type="dxa"/>
            </w:tcMar>
            <w:shd w:fill="F3F5F7"/>
          </w:tcPr>
          <w:p>
            <w:pPr>
              <w:spacing w:after="0"/>
            </w:pPr>
            <w:r>
              <w:rPr>
                <w:b/>
                <w:sz w:val="18"/>
              </w:rPr>
              <w:t>Fallback</w:t>
            </w:r>
          </w:p>
        </w:tc>
        <w:tc>
          <w:tcPr>
            <w:tcW w:type="dxa" w:w="7632"/>
            <w:vAlign w:val="top"/>
            <w:tcMar>
              <w:top w:w="100" w:type="dxa"/>
              <w:start w:w="120" w:type="dxa"/>
              <w:bottom w:w="100" w:type="dxa"/>
              <w:end w:w="120" w:type="dxa"/>
            </w:tcMar>
            <w:shd w:fill="F3F5F7"/>
          </w:tcPr>
          <w:p>
            <w:pPr>
              <w:spacing w:after="0"/>
            </w:pPr>
            <w:r>
              <w:rPr>
                <w:sz w:val="18"/>
              </w:rPr>
              <w:t>Optionally support common undefined abbreviations downstream, clearly separated from the local-definition task.</w:t>
            </w:r>
          </w:p>
        </w:tc>
      </w:tr>
      <w:tr>
        <w:tc>
          <w:tcPr>
            <w:tcW w:type="dxa" w:w="2520"/>
            <w:vAlign w:val="top"/>
            <w:tcMar>
              <w:top w:w="100" w:type="dxa"/>
              <w:start w:w="120" w:type="dxa"/>
              <w:bottom w:w="100" w:type="dxa"/>
              <w:end w:w="120" w:type="dxa"/>
            </w:tcMar>
          </w:tcPr>
          <w:p>
            <w:pPr>
              <w:spacing w:after="0"/>
            </w:pPr>
            <w:r>
              <w:rPr>
                <w:b/>
                <w:sz w:val="18"/>
              </w:rPr>
              <w:t>Error analysis</w:t>
            </w:r>
          </w:p>
        </w:tc>
        <w:tc>
          <w:tcPr>
            <w:tcW w:type="dxa" w:w="7632"/>
            <w:vAlign w:val="top"/>
            <w:tcMar>
              <w:top w:w="100" w:type="dxa"/>
              <w:start w:w="120" w:type="dxa"/>
              <w:bottom w:w="100" w:type="dxa"/>
              <w:end w:w="120" w:type="dxa"/>
            </w:tcMar>
          </w:tcPr>
          <w:p>
            <w:pPr>
              <w:spacing w:after="0"/>
            </w:pPr>
            <w:r>
              <w:rPr>
                <w:sz w:val="18"/>
              </w:rPr>
              <w:t>Identify abbreviations that are frequent in production but systematically weak in one or more resolvers.</w:t>
            </w:r>
          </w:p>
        </w:tc>
      </w:tr>
    </w:tbl>
    <w:p>
      <w:pPr>
        <w:spacing w:after="0"/>
      </w:pPr>
    </w:p>
    <w:p>
      <w:pPr>
        <w:pStyle w:val="Heading1"/>
      </w:pPr>
      <w:r>
        <w:t>8. Success criteria</w:t>
      </w:r>
    </w:p>
    <w:p>
      <w:r>
        <w:t>The project is successful when all of the following are true:</w:t>
      </w:r>
    </w:p>
    <w:p>
      <w:pPr>
        <w:pStyle w:val="ListBullet"/>
      </w:pPr>
      <w:r>
        <w:t>A clean environment can run the complete pipeline end to end against real corpora and real resolver dependencies, not only fixtures.</w:t>
      </w:r>
    </w:p>
    <w:p>
      <w:pPr>
        <w:pStyle w:val="ListBullet"/>
      </w:pPr>
      <w:r>
        <w:t>Several meaningfully different resolvers—including Ab3P and PLODv2—can be benchmarked through one interface and one evaluation framework.</w:t>
      </w:r>
    </w:p>
    <w:p>
      <w:pPr>
        <w:pStyle w:val="ListBullet"/>
      </w:pPr>
      <w:r>
        <w:t>Historical benchmarks are complemented by a curated, contemporary PubMed/PMC evaluation set tied to real abbreviation frequency.</w:t>
      </w:r>
    </w:p>
    <w:p>
      <w:pPr>
        <w:pStyle w:val="ListBullet"/>
      </w:pPr>
      <w:r>
        <w:t>The best combined system demonstrates a measurable improvement over the strongest single baseline without an unacceptable precision tradeoff.</w:t>
      </w:r>
    </w:p>
    <w:p>
      <w:pPr>
        <w:pStyle w:val="ListBullet"/>
      </w:pPr>
      <w:r>
        <w:t>The gain is useful downstream: abbreviation improvements translate into better recovery or linkage of biomedical entities, rather than only a prettier standalone F1 score.</w:t>
      </w:r>
    </w:p>
    <w:p>
      <w:pPr>
        <w:pStyle w:val="ListBullet"/>
      </w:pPr>
      <w:r>
        <w:t>Experiments are reproducible: configuration, code version, models, executable identity, corpus provenance, and cached predictions are all traceable.</w:t>
      </w:r>
    </w:p>
    <w:p>
      <w:pPr>
        <w:pStyle w:val="Heading1"/>
      </w:pPr>
      <w:r>
        <w:t>9. Guiding principles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520"/>
            <w:shd w:fill="18324A"/>
            <w:tcMar>
              <w:top w:w="100" w:type="dxa"/>
              <w:start w:w="120" w:type="dxa"/>
              <w:bottom w:w="100" w:type="dxa"/>
              <w:end w:w="120" w:type="dxa"/>
            </w:tcMar>
          </w:tcPr>
          <w:p>
            <w:r>
              <w:rPr>
                <w:b/>
                <w:color w:val="FFFFFF"/>
                <w:sz w:val="19"/>
              </w:rPr>
              <w:t>Item</w:t>
            </w:r>
          </w:p>
        </w:tc>
        <w:tc>
          <w:tcPr>
            <w:tcW w:type="dxa" w:w="7632"/>
            <w:shd w:fill="18324A"/>
            <w:tcMar>
              <w:top w:w="100" w:type="dxa"/>
              <w:start w:w="120" w:type="dxa"/>
              <w:bottom w:w="100" w:type="dxa"/>
              <w:end w:w="120" w:type="dxa"/>
            </w:tcMar>
          </w:tcPr>
          <w:p>
            <w:r>
              <w:rPr>
                <w:b/>
                <w:color w:val="FFFFFF"/>
                <w:sz w:val="19"/>
              </w:rPr>
              <w:t>Description</w:t>
            </w:r>
          </w:p>
        </w:tc>
      </w:tr>
      <w:tr>
        <w:tc>
          <w:tcPr>
            <w:tcW w:type="dxa" w:w="2520"/>
            <w:vAlign w:val="top"/>
            <w:tcMar>
              <w:top w:w="100" w:type="dxa"/>
              <w:start w:w="120" w:type="dxa"/>
              <w:bottom w:w="100" w:type="dxa"/>
              <w:end w:w="120" w:type="dxa"/>
            </w:tcMar>
          </w:tcPr>
          <w:p>
            <w:pPr>
              <w:spacing w:after="0"/>
            </w:pPr>
            <w:r>
              <w:rPr>
                <w:b/>
                <w:sz w:val="18"/>
              </w:rPr>
              <w:t>Respect strong baselines</w:t>
            </w:r>
          </w:p>
        </w:tc>
        <w:tc>
          <w:tcPr>
            <w:tcW w:type="dxa" w:w="7632"/>
            <w:vAlign w:val="top"/>
            <w:tcMar>
              <w:top w:w="100" w:type="dxa"/>
              <w:start w:w="120" w:type="dxa"/>
              <w:bottom w:w="100" w:type="dxa"/>
              <w:end w:w="120" w:type="dxa"/>
            </w:tcMar>
          </w:tcPr>
          <w:p>
            <w:pPr>
              <w:spacing w:after="0"/>
            </w:pPr>
            <w:r>
              <w:rPr>
                <w:sz w:val="18"/>
              </w:rPr>
              <w:t>An older method that works well is an asset. Replace behavior only when measured evidence supports the change.</w:t>
            </w:r>
          </w:p>
        </w:tc>
      </w:tr>
      <w:tr>
        <w:tc>
          <w:tcPr>
            <w:tcW w:type="dxa" w:w="2520"/>
            <w:vAlign w:val="top"/>
            <w:tcMar>
              <w:top w:w="100" w:type="dxa"/>
              <w:start w:w="120" w:type="dxa"/>
              <w:bottom w:w="100" w:type="dxa"/>
              <w:end w:w="120" w:type="dxa"/>
            </w:tcMar>
            <w:shd w:fill="F3F5F7"/>
          </w:tcPr>
          <w:p>
            <w:pPr>
              <w:spacing w:after="0"/>
            </w:pPr>
            <w:r>
              <w:rPr>
                <w:b/>
                <w:sz w:val="18"/>
              </w:rPr>
              <w:t>Exploit different failure modes</w:t>
            </w:r>
          </w:p>
        </w:tc>
        <w:tc>
          <w:tcPr>
            <w:tcW w:type="dxa" w:w="7632"/>
            <w:vAlign w:val="top"/>
            <w:tcMar>
              <w:top w:w="100" w:type="dxa"/>
              <w:start w:w="120" w:type="dxa"/>
              <w:bottom w:w="100" w:type="dxa"/>
              <w:end w:w="120" w:type="dxa"/>
            </w:tcMar>
            <w:shd w:fill="F3F5F7"/>
          </w:tcPr>
          <w:p>
            <w:pPr>
              <w:spacing w:after="0"/>
            </w:pPr>
            <w:r>
              <w:rPr>
                <w:sz w:val="18"/>
              </w:rPr>
              <w:t>The most valuable new resolver may be one that is complementary, not one that wins every aggregate benchmark.</w:t>
            </w:r>
          </w:p>
        </w:tc>
      </w:tr>
      <w:tr>
        <w:tc>
          <w:tcPr>
            <w:tcW w:type="dxa" w:w="2520"/>
            <w:vAlign w:val="top"/>
            <w:tcMar>
              <w:top w:w="100" w:type="dxa"/>
              <w:start w:w="120" w:type="dxa"/>
              <w:bottom w:w="100" w:type="dxa"/>
              <w:end w:w="120" w:type="dxa"/>
            </w:tcMar>
          </w:tcPr>
          <w:p>
            <w:pPr>
              <w:spacing w:after="0"/>
            </w:pPr>
            <w:r>
              <w:rPr>
                <w:b/>
                <w:sz w:val="18"/>
              </w:rPr>
              <w:t>Separate task layers</w:t>
            </w:r>
          </w:p>
        </w:tc>
        <w:tc>
          <w:tcPr>
            <w:tcW w:type="dxa" w:w="7632"/>
            <w:vAlign w:val="top"/>
            <w:tcMar>
              <w:top w:w="100" w:type="dxa"/>
              <w:start w:w="120" w:type="dxa"/>
              <w:bottom w:w="100" w:type="dxa"/>
              <w:end w:w="120" w:type="dxa"/>
            </w:tcMar>
          </w:tcPr>
          <w:p>
            <w:pPr>
              <w:spacing w:after="0"/>
            </w:pPr>
            <w:r>
              <w:rPr>
                <w:sz w:val="18"/>
              </w:rPr>
              <w:t>Detection, span boundaries, SF–LF pairing, normalization, conflict resolution, and global sense knowledge are related but distinct problems.</w:t>
            </w:r>
          </w:p>
        </w:tc>
      </w:tr>
      <w:tr>
        <w:tc>
          <w:tcPr>
            <w:tcW w:type="dxa" w:w="2520"/>
            <w:vAlign w:val="top"/>
            <w:tcMar>
              <w:top w:w="100" w:type="dxa"/>
              <w:start w:w="120" w:type="dxa"/>
              <w:bottom w:w="100" w:type="dxa"/>
              <w:end w:w="120" w:type="dxa"/>
            </w:tcMar>
            <w:shd w:fill="F3F5F7"/>
          </w:tcPr>
          <w:p>
            <w:pPr>
              <w:spacing w:after="0"/>
            </w:pPr>
            <w:r>
              <w:rPr>
                <w:b/>
                <w:sz w:val="18"/>
              </w:rPr>
              <w:t>Evaluate the target distribution</w:t>
            </w:r>
          </w:p>
        </w:tc>
        <w:tc>
          <w:tcPr>
            <w:tcW w:type="dxa" w:w="7632"/>
            <w:vAlign w:val="top"/>
            <w:tcMar>
              <w:top w:w="100" w:type="dxa"/>
              <w:start w:w="120" w:type="dxa"/>
              <w:bottom w:w="100" w:type="dxa"/>
              <w:end w:w="120" w:type="dxa"/>
            </w:tcMar>
            <w:shd w:fill="F3F5F7"/>
          </w:tcPr>
          <w:p>
            <w:pPr>
              <w:spacing w:after="0"/>
            </w:pPr>
            <w:r>
              <w:rPr>
                <w:sz w:val="18"/>
              </w:rPr>
              <w:t>Historical corpora support comparability; contemporary PubMed/PMC determines production relevance.</w:t>
            </w:r>
          </w:p>
        </w:tc>
      </w:tr>
      <w:tr>
        <w:tc>
          <w:tcPr>
            <w:tcW w:type="dxa" w:w="2520"/>
            <w:vAlign w:val="top"/>
            <w:tcMar>
              <w:top w:w="100" w:type="dxa"/>
              <w:start w:w="120" w:type="dxa"/>
              <w:bottom w:w="100" w:type="dxa"/>
              <w:end w:w="120" w:type="dxa"/>
            </w:tcMar>
          </w:tcPr>
          <w:p>
            <w:pPr>
              <w:spacing w:after="0"/>
            </w:pPr>
            <w:r>
              <w:rPr>
                <w:b/>
                <w:sz w:val="18"/>
              </w:rPr>
              <w:t>Prefer simple fusion first</w:t>
            </w:r>
          </w:p>
        </w:tc>
        <w:tc>
          <w:tcPr>
            <w:tcW w:type="dxa" w:w="7632"/>
            <w:vAlign w:val="top"/>
            <w:tcMar>
              <w:top w:w="100" w:type="dxa"/>
              <w:start w:w="120" w:type="dxa"/>
              <w:bottom w:w="100" w:type="dxa"/>
              <w:end w:w="120" w:type="dxa"/>
            </w:tcMar>
          </w:tcPr>
          <w:p>
            <w:pPr>
              <w:spacing w:after="0"/>
            </w:pPr>
            <w:r>
              <w:rPr>
                <w:sz w:val="18"/>
              </w:rPr>
              <w:t>Use transparent unions, cascades, and rules before training a meta-model whose gains are hard to diagnose.</w:t>
            </w:r>
          </w:p>
        </w:tc>
      </w:tr>
      <w:tr>
        <w:tc>
          <w:tcPr>
            <w:tcW w:type="dxa" w:w="2520"/>
            <w:vAlign w:val="top"/>
            <w:tcMar>
              <w:top w:w="100" w:type="dxa"/>
              <w:start w:w="120" w:type="dxa"/>
              <w:bottom w:w="100" w:type="dxa"/>
              <w:end w:w="120" w:type="dxa"/>
            </w:tcMar>
            <w:shd w:fill="F3F5F7"/>
          </w:tcPr>
          <w:p>
            <w:pPr>
              <w:spacing w:after="0"/>
            </w:pPr>
            <w:r>
              <w:rPr>
                <w:b/>
                <w:sz w:val="18"/>
              </w:rPr>
              <w:t>Make provenance boringly complete</w:t>
            </w:r>
          </w:p>
        </w:tc>
        <w:tc>
          <w:tcPr>
            <w:tcW w:type="dxa" w:w="7632"/>
            <w:vAlign w:val="top"/>
            <w:tcMar>
              <w:top w:w="100" w:type="dxa"/>
              <w:start w:w="120" w:type="dxa"/>
              <w:bottom w:w="100" w:type="dxa"/>
              <w:end w:w="120" w:type="dxa"/>
            </w:tcMar>
            <w:shd w:fill="F3F5F7"/>
          </w:tcPr>
          <w:p>
            <w:pPr>
              <w:spacing w:after="0"/>
            </w:pPr>
            <w:r>
              <w:rPr>
                <w:sz w:val="18"/>
              </w:rPr>
              <w:t>A result that cannot be reproduced with the same data/model/executable identity is not a trustworthy result.</w:t>
            </w:r>
          </w:p>
        </w:tc>
      </w:tr>
      <w:tr>
        <w:tc>
          <w:tcPr>
            <w:tcW w:type="dxa" w:w="2520"/>
            <w:vAlign w:val="top"/>
            <w:tcMar>
              <w:top w:w="100" w:type="dxa"/>
              <w:start w:w="120" w:type="dxa"/>
              <w:bottom w:w="100" w:type="dxa"/>
              <w:end w:w="120" w:type="dxa"/>
            </w:tcMar>
          </w:tcPr>
          <w:p>
            <w:pPr>
              <w:spacing w:after="0"/>
            </w:pPr>
            <w:r>
              <w:rPr>
                <w:b/>
                <w:sz w:val="18"/>
              </w:rPr>
              <w:t>Optimize the whole pipeline</w:t>
            </w:r>
          </w:p>
        </w:tc>
        <w:tc>
          <w:tcPr>
            <w:tcW w:type="dxa" w:w="7632"/>
            <w:vAlign w:val="top"/>
            <w:tcMar>
              <w:top w:w="100" w:type="dxa"/>
              <w:start w:w="120" w:type="dxa"/>
              <w:bottom w:w="100" w:type="dxa"/>
              <w:end w:w="120" w:type="dxa"/>
            </w:tcMar>
          </w:tcPr>
          <w:p>
            <w:pPr>
              <w:spacing w:after="0"/>
            </w:pPr>
            <w:r>
              <w:rPr>
                <w:sz w:val="18"/>
              </w:rPr>
              <w:t>The ultimate objective is better biomedical entity extraction, not abbreviation-resolution novelty in isolation.</w:t>
            </w:r>
          </w:p>
        </w:tc>
      </w:tr>
    </w:tbl>
    <w:p>
      <w:pPr>
        <w:spacing w:after="0"/>
      </w:pPr>
    </w:p>
    <w:p>
      <w:pPr>
        <w:pStyle w:val="Heading1"/>
      </w:pPr>
      <w:r>
        <w:t>10. Boundaries and non-goals for the current phase</w:t>
      </w:r>
    </w:p>
    <w:p>
      <w:pPr>
        <w:pStyle w:val="ListBullet"/>
      </w:pPr>
      <w:r>
        <w:t>Do not start by training a large bespoke language model for abbreviation resolution.</w:t>
      </w:r>
    </w:p>
    <w:p>
      <w:pPr>
        <w:pStyle w:val="ListBullet"/>
      </w:pPr>
      <w:r>
        <w:t>Do not assume that every published resolver warrants implementation; prioritize available, reproducible, and complementary methods.</w:t>
      </w:r>
    </w:p>
    <w:p>
      <w:pPr>
        <w:pStyle w:val="ListBullet"/>
      </w:pPr>
      <w:r>
        <w:t>Do not conflate local definition resolution with global acronym disambiguation. A later resource layer may help with undefined abbreviations, but it should be measured separately.</w:t>
      </w:r>
    </w:p>
    <w:p>
      <w:pPr>
        <w:pStyle w:val="ListBullet"/>
      </w:pPr>
      <w:r>
        <w:t>Do not optimize a sophisticated ensemble before the baseline pipeline, PLODv2 integration, and contemporary evaluation set are working.</w:t>
      </w:r>
    </w:p>
    <w:p>
      <w:pPr>
        <w:pStyle w:val="Heading1"/>
      </w:pPr>
      <w:r>
        <w:t>11. One-sentence project statement</w:t>
      </w:r>
    </w:p>
    <w:tbl>
      <w:tblPr>
        <w:tblW w:type="auto" w:w="0"/>
        <w:jc w:val="center"/>
        <w:tblLayout w:type="autofit"/>
        <w:tblLook w:firstColumn="1" w:firstRow="1" w:lastColumn="0" w:lastRow="0" w:noHBand="0" w:noVBand="1" w:val="04A0"/>
      </w:tblPr>
      <w:tblGrid>
        <w:gridCol w:w="9878"/>
      </w:tblGrid>
      <w:tr>
        <w:tc>
          <w:tcPr>
            <w:tcW w:type="dxa" w:w="9878"/>
            <w:shd w:fill="EAF4EE"/>
            <w:tcMar>
              <w:top w:w="150" w:type="dxa"/>
              <w:start w:w="180" w:type="dxa"/>
              <w:bottom w:w="150" w:type="dxa"/>
              <w:end w:w="180" w:type="dxa"/>
            </w:tcMar>
          </w:tcPr>
          <w:p>
            <w:pPr>
              <w:pStyle w:val="Callout"/>
            </w:pPr>
            <w:r>
              <w:t>Create a reproducible multi-resolver system for local biomedical abbreviation definitions, benchmark it on both historical and current literature, and combine complementary methods so abbreviation handling ceases to be a major downstream source of entity-extraction error.</w:t>
            </w:r>
          </w:p>
        </w:tc>
      </w:tr>
    </w:tbl>
    <w:p>
      <w:pPr>
        <w:spacing w:after="0"/>
      </w:pP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27D"/>
        <w:sz w:val="16"/>
      </w:rPr>
      <w:t xml:space="preserve">Abbreviation Resolution Project  |  </w:t>
    </w:r>
    <w:r>
      <w:rPr>
        <w:color w:val="66727D"/>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D7C"/>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5D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32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Display" w:hAnsi="Aptos Display"/>
      <w:b w:val="0"/>
      <w:i/>
      <w:iCs/>
      <w:color w:val="6672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line="269" w:lineRule="auto"/>
      <w:ind w:left="259" w:right="259"/>
    </w:pPr>
    <w:rPr>
      <w:rFonts w:ascii="Aptos" w:hAnsi="Aptos"/>
      <w:color w:val="18324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