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EB2CF0" w:rsidP="00EB2CF0">
      <w:pPr>
        <w:pStyle w:val="Title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Database </w:t>
      </w:r>
      <w:r w:rsidR="00240CE5">
        <w:rPr>
          <w:lang w:val="en-IE"/>
        </w:rPr>
        <w:t>Design</w:t>
      </w:r>
    </w:p>
    <w:p w:rsidR="00EB2CF0" w:rsidRDefault="00AB0496" w:rsidP="00EB2CF0">
      <w:pPr>
        <w:pStyle w:val="Heading1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</w:t>
      </w:r>
      <w:r w:rsidR="00EB2CF0">
        <w:rPr>
          <w:lang w:val="en-IE"/>
        </w:rPr>
        <w:t xml:space="preserve">Use Case </w:t>
      </w:r>
    </w:p>
    <w:p w:rsidR="00906839" w:rsidRDefault="00906839">
      <w:pPr>
        <w:rPr>
          <w:lang w:val="en-IE"/>
        </w:rPr>
      </w:pPr>
      <w:r>
        <w:rPr>
          <w:lang w:val="en-IE"/>
        </w:rPr>
        <w:t xml:space="preserve">The use case below is base on </w:t>
      </w: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functional requirements. </w:t>
      </w:r>
    </w:p>
    <w:p w:rsidR="00906839" w:rsidRDefault="00D46DDC" w:rsidP="00621DF3">
      <w:pPr>
        <w:pStyle w:val="ListParagraph"/>
        <w:numPr>
          <w:ilvl w:val="0"/>
          <w:numId w:val="1"/>
        </w:numPr>
        <w:rPr>
          <w:lang w:val="en-IE"/>
        </w:rPr>
      </w:pPr>
      <w:r w:rsidRPr="00621DF3">
        <w:rPr>
          <w:lang w:val="en-IE"/>
        </w:rPr>
        <w:t>Users require</w:t>
      </w:r>
      <w:r w:rsidR="00906839" w:rsidRPr="00621DF3">
        <w:rPr>
          <w:lang w:val="en-IE"/>
        </w:rPr>
        <w:t xml:space="preserve"> </w:t>
      </w:r>
      <w:r w:rsidRPr="00621DF3">
        <w:rPr>
          <w:lang w:val="en-IE"/>
        </w:rPr>
        <w:t>creating</w:t>
      </w:r>
      <w:r w:rsidR="00906839" w:rsidRPr="00621DF3">
        <w:rPr>
          <w:lang w:val="en-IE"/>
        </w:rPr>
        <w:t xml:space="preserve"> an account, and can either be </w:t>
      </w:r>
      <w:r w:rsidRPr="00621DF3">
        <w:rPr>
          <w:lang w:val="en-IE"/>
        </w:rPr>
        <w:t>an</w:t>
      </w:r>
      <w:r w:rsidR="00906839" w:rsidRPr="00621DF3">
        <w:rPr>
          <w:lang w:val="en-IE"/>
        </w:rPr>
        <w:t xml:space="preserve"> </w:t>
      </w:r>
      <w:r w:rsidR="00621DF3" w:rsidRPr="00621DF3">
        <w:rPr>
          <w:lang w:val="en-IE"/>
        </w:rPr>
        <w:t>Admin, Employee or Customer user.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User requires to login into the system and</w:t>
      </w:r>
      <w:r w:rsidR="00D46DDC">
        <w:rPr>
          <w:lang w:val="en-IE"/>
        </w:rPr>
        <w:t xml:space="preserve"> the system</w:t>
      </w:r>
      <w:r>
        <w:rPr>
          <w:lang w:val="en-IE"/>
        </w:rPr>
        <w:t xml:space="preserve"> need</w:t>
      </w:r>
      <w:r w:rsidR="00D46DDC">
        <w:rPr>
          <w:lang w:val="en-IE"/>
        </w:rPr>
        <w:t xml:space="preserve">s </w:t>
      </w:r>
      <w:r>
        <w:rPr>
          <w:lang w:val="en-IE"/>
        </w:rPr>
        <w:t>to validate what role the user belongs to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 customer</w:t>
      </w:r>
      <w:r w:rsidR="0049268D">
        <w:rPr>
          <w:lang w:val="en-IE"/>
        </w:rPr>
        <w:t>/client</w:t>
      </w:r>
      <w:r>
        <w:rPr>
          <w:lang w:val="en-IE"/>
        </w:rPr>
        <w:t xml:space="preserve"> user can create a building quote for analysis and costing. The customer can upload multiple images and also select custom features to be added to the costs. </w:t>
      </w:r>
    </w:p>
    <w:p w:rsidR="00AB0496" w:rsidRDefault="00AB0496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 Admin user can add default building features for analysis and costing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An admin user can review the building </w:t>
      </w:r>
      <w:r w:rsidR="00D46DDC">
        <w:rPr>
          <w:lang w:val="en-IE"/>
        </w:rPr>
        <w:t xml:space="preserve">analysis and </w:t>
      </w:r>
      <w:r>
        <w:rPr>
          <w:lang w:val="en-IE"/>
        </w:rPr>
        <w:t>costing, update changes to the costs/features and apply the costing again, or approve the costs.</w:t>
      </w:r>
    </w:p>
    <w:p w:rsidR="00EB2CF0" w:rsidRDefault="00AB0496" w:rsidP="00AB0496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557629" cy="3613150"/>
            <wp:effectExtent l="19050" t="0" r="4721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29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2C" w:rsidRDefault="0088412C">
      <w:pPr>
        <w:rPr>
          <w:lang w:val="en-IE"/>
        </w:rPr>
      </w:pPr>
    </w:p>
    <w:p w:rsidR="00EB15E0" w:rsidRDefault="00EB2CF0" w:rsidP="00B2339E">
      <w:pPr>
        <w:rPr>
          <w:lang w:val="en-IE"/>
        </w:rPr>
      </w:pPr>
      <w:r>
        <w:rPr>
          <w:lang w:val="en-IE"/>
        </w:rPr>
        <w:br w:type="page"/>
      </w:r>
    </w:p>
    <w:p w:rsidR="007C434F" w:rsidRDefault="007C434F" w:rsidP="007C434F">
      <w:pPr>
        <w:pStyle w:val="Heading2"/>
        <w:rPr>
          <w:lang w:val="en-IE"/>
        </w:rPr>
      </w:pPr>
      <w:proofErr w:type="spellStart"/>
      <w:r>
        <w:rPr>
          <w:lang w:val="en-IE"/>
        </w:rPr>
        <w:lastRenderedPageBreak/>
        <w:t>CrowSoft</w:t>
      </w:r>
      <w:proofErr w:type="spellEnd"/>
      <w:r>
        <w:rPr>
          <w:lang w:val="en-IE"/>
        </w:rPr>
        <w:t xml:space="preserve"> Database Table Structures</w:t>
      </w:r>
    </w:p>
    <w:p w:rsidR="00906839" w:rsidRDefault="00906839" w:rsidP="007C434F">
      <w:pPr>
        <w:pStyle w:val="Heading3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ERD</w:t>
      </w:r>
    </w:p>
    <w:p w:rsidR="00906839" w:rsidRDefault="00906839" w:rsidP="00906839">
      <w:pPr>
        <w:rPr>
          <w:lang w:val="en-IE"/>
        </w:rPr>
      </w:pPr>
    </w:p>
    <w:p w:rsidR="00906839" w:rsidRPr="00906839" w:rsidRDefault="00FA7078" w:rsidP="00906839">
      <w:pPr>
        <w:rPr>
          <w:lang w:val="en-IE"/>
        </w:rPr>
      </w:pPr>
      <w:r>
        <w:rPr>
          <w:noProof/>
          <w:lang w:val="en-IE" w:eastAsia="en-I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86.5pt">
            <v:imagedata r:id="rId8" o:title="CrowSoftERD2"/>
          </v:shape>
        </w:pict>
      </w:r>
    </w:p>
    <w:p w:rsidR="00B2339E" w:rsidRDefault="00B2339E" w:rsidP="007C434F">
      <w:pPr>
        <w:pStyle w:val="Heading3"/>
        <w:rPr>
          <w:lang w:val="en-IE"/>
        </w:rPr>
      </w:pPr>
      <w:r w:rsidRPr="0088412C">
        <w:rPr>
          <w:lang w:val="en-IE"/>
        </w:rPr>
        <w:t>User</w:t>
      </w:r>
      <w:r w:rsidR="0048145E">
        <w:rPr>
          <w:lang w:val="en-IE"/>
        </w:rPr>
        <w:t xml:space="preserve"> </w:t>
      </w:r>
      <w:proofErr w:type="gramStart"/>
      <w:r w:rsidRPr="0088412C">
        <w:rPr>
          <w:lang w:val="en-IE"/>
        </w:rPr>
        <w:t>Account  Table</w:t>
      </w:r>
      <w:proofErr w:type="gramEnd"/>
    </w:p>
    <w:p w:rsidR="0088412C" w:rsidRPr="00996349" w:rsidRDefault="0088412C">
      <w:pPr>
        <w:rPr>
          <w:lang w:val="en-IE"/>
        </w:rPr>
      </w:pPr>
      <w:r w:rsidRPr="00996349">
        <w:rPr>
          <w:lang w:val="en-IE"/>
        </w:rPr>
        <w:t xml:space="preserve">This table </w:t>
      </w:r>
      <w:r w:rsidR="00996349">
        <w:rPr>
          <w:lang w:val="en-IE"/>
        </w:rPr>
        <w:t xml:space="preserve">will be </w:t>
      </w:r>
      <w:r w:rsidRPr="00996349">
        <w:rPr>
          <w:lang w:val="en-IE"/>
        </w:rPr>
        <w:t>used for multipurpose users; for employees, admin users and customers. This will use a role-base security at three levels, admin (all access), employee user (access to view costing and building quotes), customer (allow to create building quote including features)</w:t>
      </w:r>
      <w:r w:rsidR="00996349">
        <w:rPr>
          <w:lang w:val="en-IE"/>
        </w:rPr>
        <w:t xml:space="preserve">. Features on the UI will be visible according to the role of the user. </w:t>
      </w:r>
    </w:p>
    <w:tbl>
      <w:tblPr>
        <w:tblStyle w:val="TableGrid"/>
        <w:tblW w:w="0" w:type="auto"/>
        <w:tblLook w:val="04A0"/>
      </w:tblPr>
      <w:tblGrid>
        <w:gridCol w:w="1626"/>
        <w:gridCol w:w="2129"/>
        <w:gridCol w:w="1186"/>
        <w:gridCol w:w="1775"/>
        <w:gridCol w:w="1575"/>
        <w:gridCol w:w="951"/>
      </w:tblGrid>
      <w:tr w:rsidR="00B2339E" w:rsidRPr="00B2339E" w:rsidTr="00B2339E">
        <w:trPr>
          <w:trHeight w:val="300"/>
        </w:trPr>
        <w:tc>
          <w:tcPr>
            <w:tcW w:w="188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Mandatory</w:t>
            </w:r>
          </w:p>
        </w:tc>
        <w:tc>
          <w:tcPr>
            <w:tcW w:w="18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Validation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type</w:t>
            </w:r>
          </w:p>
        </w:tc>
      </w:tr>
      <w:tr w:rsidR="00B2339E" w:rsidRPr="00B2339E" w:rsidTr="00B2339E">
        <w:trPr>
          <w:trHeight w:val="6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idUserAccount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Primary Key - Auto Increment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 w:rsidP="00B2339E">
            <w:r w:rsidRPr="00B2339E">
              <w:t>1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B2339E">
        <w:trPr>
          <w:trHeight w:val="6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EmailAddress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Email Address and Username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8C3DEC">
            <w:pPr>
              <w:rPr>
                <w:u w:val="single"/>
              </w:rPr>
            </w:pPr>
            <w:hyperlink r:id="rId9" w:history="1">
              <w:r w:rsidR="00B2339E" w:rsidRPr="00B2339E">
                <w:rPr>
                  <w:rStyle w:val="Hyperlink"/>
                </w:rPr>
                <w:t>joe@email.com</w:t>
              </w:r>
            </w:hyperlink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Valid Email Address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12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lastRenderedPageBreak/>
              <w:t xml:space="preserve">Password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Hash Password using Cryptography in ASP.Net Core before saving to DB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$1$O3JMY.Tw$AdLn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Validate Login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FirstName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First Name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Joe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LastName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Last Name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proofErr w:type="spellStart"/>
            <w:r w:rsidRPr="00B2339E">
              <w:t>Blogg</w:t>
            </w:r>
            <w:proofErr w:type="spellEnd"/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TelephoneNo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Telephone No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555-555-5555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AddressLine1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Address Line 1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123 Street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AddressLine2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Address Line 2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My Area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County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County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Donegal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Country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Country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Ireland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EirCode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Postal Code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F90 A1A1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CompanyName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proofErr w:type="spellStart"/>
            <w:r w:rsidRPr="00B2339E">
              <w:t>CompanyName</w:t>
            </w:r>
            <w:proofErr w:type="spellEnd"/>
            <w:r w:rsidRPr="00B2339E">
              <w:t xml:space="preserve">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proofErr w:type="spellStart"/>
            <w:r w:rsidRPr="00B2339E">
              <w:t>CrowSoft</w:t>
            </w:r>
            <w:proofErr w:type="spellEnd"/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9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TypeUser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Drop Down Box (Admin, Employee, Customer)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Admin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102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DateCreated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Auto Generated by </w:t>
            </w:r>
            <w:proofErr w:type="spellStart"/>
            <w:r w:rsidRPr="00B2339E">
              <w:t>MySQL</w:t>
            </w:r>
            <w:proofErr w:type="spellEnd"/>
            <w:r w:rsidRPr="00B2339E">
              <w:t xml:space="preserve"> (CURRENT_TIMESTAMP`)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2019-02-31 20:00:00'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noWrap/>
            <w:hideMark/>
          </w:tcPr>
          <w:p w:rsidR="00B2339E" w:rsidRPr="00B2339E" w:rsidRDefault="00B2339E">
            <w:proofErr w:type="spellStart"/>
            <w:r w:rsidRPr="00B2339E">
              <w:t>DateTime</w:t>
            </w:r>
            <w:proofErr w:type="spellEnd"/>
          </w:p>
        </w:tc>
      </w:tr>
    </w:tbl>
    <w:p w:rsidR="00B2339E" w:rsidRDefault="00B2339E">
      <w:pPr>
        <w:rPr>
          <w:lang w:val="en-IE"/>
        </w:rPr>
      </w:pPr>
    </w:p>
    <w:p w:rsidR="00B2339E" w:rsidRDefault="00B2339E">
      <w:pPr>
        <w:rPr>
          <w:lang w:val="en-IE"/>
        </w:rPr>
      </w:pPr>
      <w:r>
        <w:rPr>
          <w:lang w:val="en-IE"/>
        </w:rPr>
        <w:br w:type="page"/>
      </w:r>
    </w:p>
    <w:p w:rsidR="00B2339E" w:rsidRDefault="00B2339E" w:rsidP="007C434F">
      <w:pPr>
        <w:pStyle w:val="Heading3"/>
        <w:rPr>
          <w:lang w:val="en-IE"/>
        </w:rPr>
      </w:pPr>
      <w:r w:rsidRPr="00B2339E">
        <w:rPr>
          <w:lang w:val="en-IE"/>
        </w:rPr>
        <w:lastRenderedPageBreak/>
        <w:t>Default</w:t>
      </w:r>
      <w:r w:rsidR="0048145E">
        <w:rPr>
          <w:lang w:val="en-IE"/>
        </w:rPr>
        <w:t xml:space="preserve"> </w:t>
      </w:r>
      <w:r w:rsidRPr="00B2339E">
        <w:rPr>
          <w:lang w:val="en-IE"/>
        </w:rPr>
        <w:t>Feature Table</w:t>
      </w:r>
    </w:p>
    <w:p w:rsidR="00996349" w:rsidRDefault="00996349">
      <w:pPr>
        <w:rPr>
          <w:lang w:val="en-IE"/>
        </w:rPr>
      </w:pPr>
      <w:r>
        <w:rPr>
          <w:lang w:val="en-IE"/>
        </w:rPr>
        <w:t xml:space="preserve">The default feature table is a configuration table for both default features to be added to each and every building quote, but also where a customer can select multiple features to be added to the quote and to be calculated. </w:t>
      </w:r>
    </w:p>
    <w:tbl>
      <w:tblPr>
        <w:tblStyle w:val="TableGrid"/>
        <w:tblW w:w="0" w:type="auto"/>
        <w:tblLook w:val="04A0"/>
      </w:tblPr>
      <w:tblGrid>
        <w:gridCol w:w="1712"/>
        <w:gridCol w:w="2142"/>
        <w:gridCol w:w="1244"/>
        <w:gridCol w:w="1603"/>
        <w:gridCol w:w="1657"/>
        <w:gridCol w:w="884"/>
      </w:tblGrid>
      <w:tr w:rsidR="00B2339E" w:rsidRPr="00B2339E" w:rsidTr="00B2339E">
        <w:trPr>
          <w:trHeight w:val="300"/>
        </w:trPr>
        <w:tc>
          <w:tcPr>
            <w:tcW w:w="188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Mandatory</w:t>
            </w:r>
          </w:p>
        </w:tc>
        <w:tc>
          <w:tcPr>
            <w:tcW w:w="17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Validation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type</w:t>
            </w:r>
          </w:p>
        </w:tc>
      </w:tr>
      <w:tr w:rsidR="00B2339E" w:rsidRPr="00B2339E" w:rsidTr="00B2339E">
        <w:trPr>
          <w:trHeight w:val="6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idDefaultFeature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Primary Key - Auto Increment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 w:rsidP="00B2339E">
            <w:r w:rsidRPr="00B2339E">
              <w:t>1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960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B2339E">
        <w:trPr>
          <w:trHeight w:val="9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Description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Description of the Feature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>E.g. Concrete Walls, Kitchen, Tiled Roof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9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Measurement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Type </w:t>
            </w:r>
            <w:r w:rsidR="000C1EDC" w:rsidRPr="00B2339E">
              <w:t>of</w:t>
            </w:r>
            <w:r w:rsidRPr="00B2339E">
              <w:t xml:space="preserve"> measurement used to calculate unit price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 xml:space="preserve">E.g. Qty, Time, </w:t>
            </w:r>
            <w:proofErr w:type="spellStart"/>
            <w:r w:rsidRPr="00B2339E">
              <w:t>Sqr</w:t>
            </w:r>
            <w:proofErr w:type="spellEnd"/>
            <w:r w:rsidRPr="00B2339E">
              <w:t xml:space="preserve"> Meters, </w:t>
            </w:r>
            <w:proofErr w:type="spellStart"/>
            <w:r w:rsidRPr="00B2339E">
              <w:t>Sqr</w:t>
            </w:r>
            <w:proofErr w:type="spellEnd"/>
            <w:r w:rsidRPr="00B2339E">
              <w:t xml:space="preserve"> Foot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UnitPrice</w:t>
            </w:r>
            <w:proofErr w:type="spellEnd"/>
            <w:r w:rsidRPr="00B2339E">
              <w:t xml:space="preserve">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Unit Price of feature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 w:rsidP="00B2339E">
            <w:r w:rsidRPr="00B2339E">
              <w:t>€100.00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B2339E">
        <w:trPr>
          <w:trHeight w:val="24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DefaultFeature</w:t>
            </w:r>
            <w:proofErr w:type="spellEnd"/>
          </w:p>
        </w:tc>
        <w:tc>
          <w:tcPr>
            <w:tcW w:w="2360" w:type="dxa"/>
            <w:hideMark/>
          </w:tcPr>
          <w:p w:rsidR="00B2339E" w:rsidRPr="00B2339E" w:rsidRDefault="00B2339E" w:rsidP="00996349">
            <w:r w:rsidRPr="00B2339E">
              <w:t>This is a Bo</w:t>
            </w:r>
            <w:r w:rsidR="00996349">
              <w:t>o</w:t>
            </w:r>
            <w:r w:rsidRPr="00B2339E">
              <w:t xml:space="preserve">lean field. If this field = 1, then this feature will be automatically be added to the total cost, if 0, then it will display as an option for the customer to select.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>1 or 0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noWrap/>
            <w:hideMark/>
          </w:tcPr>
          <w:p w:rsidR="00B2339E" w:rsidRPr="00B2339E" w:rsidRDefault="00996349">
            <w:proofErr w:type="spellStart"/>
            <w:r>
              <w:t>tinyint</w:t>
            </w:r>
            <w:proofErr w:type="spellEnd"/>
          </w:p>
        </w:tc>
      </w:tr>
    </w:tbl>
    <w:p w:rsidR="0088412C" w:rsidRDefault="0088412C">
      <w:pPr>
        <w:rPr>
          <w:lang w:val="en-IE"/>
        </w:rPr>
      </w:pPr>
    </w:p>
    <w:p w:rsidR="0088412C" w:rsidRDefault="0088412C">
      <w:pPr>
        <w:rPr>
          <w:lang w:val="en-IE"/>
        </w:rPr>
      </w:pPr>
      <w:r>
        <w:rPr>
          <w:lang w:val="en-IE"/>
        </w:rPr>
        <w:br w:type="page"/>
      </w:r>
    </w:p>
    <w:p w:rsidR="00B2339E" w:rsidRDefault="0088412C" w:rsidP="007C434F">
      <w:pPr>
        <w:pStyle w:val="Heading3"/>
        <w:rPr>
          <w:lang w:val="en-IE"/>
        </w:rPr>
      </w:pPr>
      <w:r w:rsidRPr="0088412C">
        <w:rPr>
          <w:lang w:val="en-IE"/>
        </w:rPr>
        <w:lastRenderedPageBreak/>
        <w:t>Building</w:t>
      </w:r>
      <w:r w:rsidR="007C434F">
        <w:rPr>
          <w:lang w:val="en-IE"/>
        </w:rPr>
        <w:t xml:space="preserve"> </w:t>
      </w:r>
      <w:r w:rsidRPr="0088412C">
        <w:rPr>
          <w:lang w:val="en-IE"/>
        </w:rPr>
        <w:t>Quote Table</w:t>
      </w:r>
    </w:p>
    <w:p w:rsidR="0048145E" w:rsidRDefault="0048145E">
      <w:pPr>
        <w:rPr>
          <w:lang w:val="en-IE"/>
        </w:rPr>
      </w:pPr>
      <w:r>
        <w:rPr>
          <w:lang w:val="en-IE"/>
        </w:rPr>
        <w:t xml:space="preserve">This is the header table when a customer creates a new quote for costing. A user/customer has to register for an account before they can create a quote for costing. </w:t>
      </w:r>
      <w:r w:rsidR="00422582">
        <w:rPr>
          <w:lang w:val="en-IE"/>
        </w:rPr>
        <w:t xml:space="preserve">A separate process will automatically run when a customer click confirms. This calculation will add up all default and customer features required and add it to the total cost. </w:t>
      </w:r>
    </w:p>
    <w:tbl>
      <w:tblPr>
        <w:tblStyle w:val="TableGrid"/>
        <w:tblW w:w="0" w:type="auto"/>
        <w:tblLook w:val="04A0"/>
      </w:tblPr>
      <w:tblGrid>
        <w:gridCol w:w="2452"/>
        <w:gridCol w:w="2124"/>
        <w:gridCol w:w="1106"/>
        <w:gridCol w:w="1297"/>
        <w:gridCol w:w="1339"/>
        <w:gridCol w:w="924"/>
      </w:tblGrid>
      <w:tr w:rsidR="0088412C" w:rsidRPr="0088412C" w:rsidTr="00FA7078">
        <w:trPr>
          <w:trHeight w:val="300"/>
        </w:trPr>
        <w:tc>
          <w:tcPr>
            <w:tcW w:w="2286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1982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137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459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507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507" w:type="dxa"/>
            <w:hideMark/>
          </w:tcPr>
          <w:p w:rsidR="0088412C" w:rsidRPr="0088412C" w:rsidRDefault="0088412C"/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UserAccount_idUserAccount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Many to One Foreign Key to </w:t>
            </w:r>
            <w:proofErr w:type="spellStart"/>
            <w:r w:rsidRPr="0088412C">
              <w:t>UserAccess</w:t>
            </w:r>
            <w:proofErr w:type="spellEnd"/>
            <w:r w:rsidRPr="0088412C">
              <w:t xml:space="preserve"> Table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User has to be logged in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Description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Description of the building the customer requires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 xml:space="preserve">Offices for Joe </w:t>
            </w:r>
            <w:proofErr w:type="spellStart"/>
            <w:r w:rsidRPr="0088412C">
              <w:t>Blogg</w:t>
            </w:r>
            <w:proofErr w:type="spellEnd"/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MeasurementType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Drop Down for Metrics or Imperial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Metric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3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Height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Height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50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3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Width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Width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200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3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Depth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Depth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200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PurposeOfBuilding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Customer explains purpose of the building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Office Block</w:t>
            </w:r>
          </w:p>
        </w:tc>
        <w:tc>
          <w:tcPr>
            <w:tcW w:w="1507" w:type="dxa"/>
            <w:hideMark/>
          </w:tcPr>
          <w:p w:rsidR="0088412C" w:rsidRPr="0088412C" w:rsidRDefault="0088412C"/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BuildingSize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Calculated from Height, Width and Depth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/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Auto calculation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12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TotalCost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System calculates total cost of all features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€130,000.00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If cost is over €1 mill, change status to Withhold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DateCreated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Auto Generated by </w:t>
            </w:r>
            <w:proofErr w:type="spellStart"/>
            <w:r w:rsidRPr="0088412C">
              <w:t>MySQL</w:t>
            </w:r>
            <w:proofErr w:type="spellEnd"/>
            <w:r w:rsidRPr="0088412C">
              <w:t xml:space="preserve"> (CURRENT_TIMESTAMP)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>
            <w:r w:rsidRPr="0088412C">
              <w:t>2019-02-31 20:00:00'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datetime</w:t>
            </w:r>
            <w:proofErr w:type="spellEnd"/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Status </w:t>
            </w:r>
          </w:p>
        </w:tc>
        <w:tc>
          <w:tcPr>
            <w:tcW w:w="1982" w:type="dxa"/>
            <w:hideMark/>
          </w:tcPr>
          <w:p w:rsidR="0088412C" w:rsidRPr="0088412C" w:rsidRDefault="007C434F">
            <w:r>
              <w:t>Status of the quote:</w:t>
            </w:r>
            <w:r w:rsidR="0088412C" w:rsidRPr="0088412C">
              <w:t xml:space="preserve"> Confirmed, Approved, Withhold, Cancelled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Approved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TimeFrame</w:t>
            </w:r>
            <w:proofErr w:type="spellEnd"/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This is the time in months. Calculated from </w:t>
            </w:r>
            <w:r w:rsidR="007C434F" w:rsidRPr="0088412C">
              <w:t>labour</w:t>
            </w:r>
            <w:r w:rsidRPr="0088412C">
              <w:t xml:space="preserve"> cost.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6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Auto calculation</w:t>
            </w:r>
          </w:p>
        </w:tc>
        <w:tc>
          <w:tcPr>
            <w:tcW w:w="871" w:type="dxa"/>
            <w:noWrap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FA7078" w:rsidRPr="0088412C" w:rsidTr="00FA7078">
        <w:trPr>
          <w:trHeight w:val="451"/>
        </w:trPr>
        <w:tc>
          <w:tcPr>
            <w:tcW w:w="2286" w:type="dxa"/>
            <w:hideMark/>
          </w:tcPr>
          <w:p w:rsidR="00FA7078" w:rsidRPr="0088412C" w:rsidRDefault="00FA7078" w:rsidP="00FA7078">
            <w:proofErr w:type="spellStart"/>
            <w:r w:rsidRPr="0088412C">
              <w:t>Date</w:t>
            </w:r>
            <w:r>
              <w:t>Updated</w:t>
            </w:r>
            <w:proofErr w:type="spellEnd"/>
          </w:p>
        </w:tc>
        <w:tc>
          <w:tcPr>
            <w:tcW w:w="1982" w:type="dxa"/>
            <w:hideMark/>
          </w:tcPr>
          <w:p w:rsidR="00FA7078" w:rsidRPr="0088412C" w:rsidRDefault="00FA7078" w:rsidP="00FA7078">
            <w:r>
              <w:t>Updated when record is updated by Admin</w:t>
            </w:r>
          </w:p>
        </w:tc>
        <w:tc>
          <w:tcPr>
            <w:tcW w:w="1137" w:type="dxa"/>
            <w:hideMark/>
          </w:tcPr>
          <w:p w:rsidR="00FA7078" w:rsidRPr="0088412C" w:rsidRDefault="00FA7078" w:rsidP="00C20C05">
            <w:r>
              <w:t>N</w:t>
            </w:r>
          </w:p>
        </w:tc>
        <w:tc>
          <w:tcPr>
            <w:tcW w:w="1459" w:type="dxa"/>
            <w:hideMark/>
          </w:tcPr>
          <w:p w:rsidR="00FA7078" w:rsidRPr="0088412C" w:rsidRDefault="00FA7078" w:rsidP="00C20C05">
            <w:r w:rsidRPr="0088412C">
              <w:t>2019-02-31 20:00:00'</w:t>
            </w:r>
          </w:p>
        </w:tc>
        <w:tc>
          <w:tcPr>
            <w:tcW w:w="1507" w:type="dxa"/>
            <w:hideMark/>
          </w:tcPr>
          <w:p w:rsidR="00FA7078" w:rsidRPr="0088412C" w:rsidRDefault="00FA7078" w:rsidP="00C20C05"/>
        </w:tc>
        <w:tc>
          <w:tcPr>
            <w:tcW w:w="871" w:type="dxa"/>
            <w:noWrap/>
            <w:hideMark/>
          </w:tcPr>
          <w:p w:rsidR="00FA7078" w:rsidRPr="0088412C" w:rsidRDefault="00FA7078" w:rsidP="00C20C05">
            <w:proofErr w:type="spellStart"/>
            <w:r w:rsidRPr="0088412C">
              <w:t>datetime</w:t>
            </w:r>
            <w:proofErr w:type="spellEnd"/>
          </w:p>
        </w:tc>
      </w:tr>
      <w:tr w:rsidR="00FA7078" w:rsidRPr="0088412C" w:rsidTr="00FA7078">
        <w:trPr>
          <w:trHeight w:val="451"/>
        </w:trPr>
        <w:tc>
          <w:tcPr>
            <w:tcW w:w="2286" w:type="dxa"/>
            <w:hideMark/>
          </w:tcPr>
          <w:p w:rsidR="00FA7078" w:rsidRPr="0088412C" w:rsidRDefault="00FA7078">
            <w:proofErr w:type="spellStart"/>
            <w:r>
              <w:t>UpdatedBy</w:t>
            </w:r>
            <w:proofErr w:type="spellEnd"/>
          </w:p>
        </w:tc>
        <w:tc>
          <w:tcPr>
            <w:tcW w:w="1982" w:type="dxa"/>
            <w:hideMark/>
          </w:tcPr>
          <w:p w:rsidR="00FA7078" w:rsidRPr="0088412C" w:rsidRDefault="00FA7078">
            <w:r>
              <w:t xml:space="preserve">Admin Id who updated the </w:t>
            </w:r>
            <w:proofErr w:type="spellStart"/>
            <w:r>
              <w:t>qoute</w:t>
            </w:r>
            <w:proofErr w:type="spellEnd"/>
          </w:p>
        </w:tc>
        <w:tc>
          <w:tcPr>
            <w:tcW w:w="1137" w:type="dxa"/>
            <w:hideMark/>
          </w:tcPr>
          <w:p w:rsidR="00FA7078" w:rsidRPr="0088412C" w:rsidRDefault="00FA7078" w:rsidP="0088412C">
            <w:r>
              <w:t>N</w:t>
            </w:r>
          </w:p>
        </w:tc>
        <w:tc>
          <w:tcPr>
            <w:tcW w:w="1459" w:type="dxa"/>
            <w:hideMark/>
          </w:tcPr>
          <w:p w:rsidR="00FA7078" w:rsidRPr="0088412C" w:rsidRDefault="00FA7078" w:rsidP="0088412C">
            <w:r>
              <w:t>1</w:t>
            </w:r>
          </w:p>
        </w:tc>
        <w:tc>
          <w:tcPr>
            <w:tcW w:w="1507" w:type="dxa"/>
            <w:hideMark/>
          </w:tcPr>
          <w:p w:rsidR="00FA7078" w:rsidRPr="0088412C" w:rsidRDefault="00FA7078"/>
        </w:tc>
        <w:tc>
          <w:tcPr>
            <w:tcW w:w="871" w:type="dxa"/>
            <w:noWrap/>
            <w:hideMark/>
          </w:tcPr>
          <w:p w:rsidR="00FA7078" w:rsidRPr="0088412C" w:rsidRDefault="00FA7078">
            <w:proofErr w:type="spellStart"/>
            <w:r>
              <w:t>int</w:t>
            </w:r>
            <w:proofErr w:type="spellEnd"/>
          </w:p>
        </w:tc>
      </w:tr>
    </w:tbl>
    <w:p w:rsidR="0088412C" w:rsidRDefault="0088412C">
      <w:pPr>
        <w:rPr>
          <w:lang w:val="en-IE"/>
        </w:rPr>
      </w:pPr>
      <w:r>
        <w:rPr>
          <w:lang w:val="en-IE"/>
        </w:rPr>
        <w:br w:type="page"/>
      </w:r>
    </w:p>
    <w:p w:rsidR="00EB2CF0" w:rsidRDefault="0088412C" w:rsidP="00422582">
      <w:pPr>
        <w:pStyle w:val="Heading3"/>
        <w:rPr>
          <w:lang w:val="en-IE"/>
        </w:rPr>
      </w:pPr>
      <w:r w:rsidRPr="0088412C">
        <w:rPr>
          <w:lang w:val="en-IE"/>
        </w:rPr>
        <w:lastRenderedPageBreak/>
        <w:t>Building</w:t>
      </w:r>
      <w:r w:rsidR="00422582">
        <w:rPr>
          <w:lang w:val="en-IE"/>
        </w:rPr>
        <w:t xml:space="preserve"> Features </w:t>
      </w:r>
      <w:r w:rsidRPr="0088412C">
        <w:rPr>
          <w:lang w:val="en-IE"/>
        </w:rPr>
        <w:t>Table</w:t>
      </w:r>
    </w:p>
    <w:p w:rsidR="00422582" w:rsidRDefault="00422582">
      <w:pPr>
        <w:rPr>
          <w:lang w:val="en-IE"/>
        </w:rPr>
      </w:pPr>
      <w:r>
        <w:rPr>
          <w:lang w:val="en-IE"/>
        </w:rPr>
        <w:t xml:space="preserve">This table is to save the customer selected features to be added to the final costing. </w:t>
      </w:r>
    </w:p>
    <w:tbl>
      <w:tblPr>
        <w:tblStyle w:val="TableGrid"/>
        <w:tblW w:w="0" w:type="auto"/>
        <w:tblLook w:val="04A0"/>
      </w:tblPr>
      <w:tblGrid>
        <w:gridCol w:w="2552"/>
        <w:gridCol w:w="1901"/>
        <w:gridCol w:w="1115"/>
        <w:gridCol w:w="1430"/>
        <w:gridCol w:w="1477"/>
        <w:gridCol w:w="767"/>
      </w:tblGrid>
      <w:tr w:rsidR="0088412C" w:rsidRPr="0088412C" w:rsidTr="0088412C">
        <w:trPr>
          <w:trHeight w:val="300"/>
        </w:trPr>
        <w:tc>
          <w:tcPr>
            <w:tcW w:w="2993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7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idBuildingFeatures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r w:rsidRPr="0088412C">
              <w:t xml:space="preserve">Comments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Comments of </w:t>
            </w:r>
            <w:proofErr w:type="spellStart"/>
            <w:r w:rsidRPr="0088412C">
              <w:t>whats</w:t>
            </w:r>
            <w:proofErr w:type="spellEnd"/>
            <w:r w:rsidRPr="0088412C">
              <w:t xml:space="preserve"> required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Colour of the walls white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9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FeatureDescription</w:t>
            </w:r>
            <w:proofErr w:type="spellEnd"/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Copied from default feature select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/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Concrete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generate from default features selected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r w:rsidRPr="0088412C">
              <w:t xml:space="preserve">Quantity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Qty required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150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UnitPrice</w:t>
            </w:r>
            <w:proofErr w:type="spellEnd"/>
          </w:p>
        </w:tc>
        <w:tc>
          <w:tcPr>
            <w:tcW w:w="2360" w:type="dxa"/>
            <w:hideMark/>
          </w:tcPr>
          <w:p w:rsidR="0088412C" w:rsidRPr="0088412C" w:rsidRDefault="0088412C"/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€50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TotalCost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Total cost calculated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€7,500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calculate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BuildingQuote_idBuildingQuote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Foreign key for building </w:t>
            </w:r>
            <w:r w:rsidR="00422582" w:rsidRPr="0088412C">
              <w:t>quote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DefaultFeature_idDefaultFeature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Foreign key for Default Feature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</w:tbl>
    <w:p w:rsidR="0088412C" w:rsidRDefault="0088412C">
      <w:pPr>
        <w:rPr>
          <w:lang w:val="en-IE"/>
        </w:rPr>
      </w:pPr>
    </w:p>
    <w:p w:rsidR="0088412C" w:rsidRDefault="0088412C" w:rsidP="00906839">
      <w:pPr>
        <w:pStyle w:val="Heading3"/>
        <w:rPr>
          <w:lang w:val="en-IE"/>
        </w:rPr>
      </w:pPr>
      <w:r w:rsidRPr="0088412C">
        <w:rPr>
          <w:lang w:val="en-IE"/>
        </w:rPr>
        <w:t>Building</w:t>
      </w:r>
      <w:r w:rsidR="00906839">
        <w:rPr>
          <w:lang w:val="en-IE"/>
        </w:rPr>
        <w:t xml:space="preserve"> Image </w:t>
      </w:r>
      <w:r w:rsidRPr="0088412C">
        <w:rPr>
          <w:lang w:val="en-IE"/>
        </w:rPr>
        <w:t>Table</w:t>
      </w:r>
    </w:p>
    <w:p w:rsidR="00906839" w:rsidRDefault="00906839">
      <w:pPr>
        <w:rPr>
          <w:lang w:val="en-IE"/>
        </w:rPr>
      </w:pPr>
      <w:r>
        <w:rPr>
          <w:lang w:val="en-IE"/>
        </w:rPr>
        <w:t xml:space="preserve">The customer will be able to upload multiple images and this is where the image path will be stored. This has a many to one relationship with the </w:t>
      </w:r>
      <w:r w:rsidRPr="0088412C">
        <w:t>Building</w:t>
      </w:r>
      <w:r>
        <w:t xml:space="preserve"> </w:t>
      </w:r>
      <w:r w:rsidRPr="0088412C">
        <w:t>Quote</w:t>
      </w:r>
      <w:r>
        <w:t xml:space="preserve"> header table. </w:t>
      </w:r>
    </w:p>
    <w:tbl>
      <w:tblPr>
        <w:tblStyle w:val="TableGrid"/>
        <w:tblW w:w="0" w:type="auto"/>
        <w:tblLook w:val="04A0"/>
      </w:tblPr>
      <w:tblGrid>
        <w:gridCol w:w="2475"/>
        <w:gridCol w:w="1918"/>
        <w:gridCol w:w="1125"/>
        <w:gridCol w:w="1615"/>
        <w:gridCol w:w="1490"/>
        <w:gridCol w:w="619"/>
      </w:tblGrid>
      <w:tr w:rsidR="0088412C" w:rsidRPr="0088412C" w:rsidTr="0088412C">
        <w:trPr>
          <w:trHeight w:val="300"/>
        </w:trPr>
        <w:tc>
          <w:tcPr>
            <w:tcW w:w="2865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781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idBuildingImage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527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300"/>
        </w:trPr>
        <w:tc>
          <w:tcPr>
            <w:tcW w:w="2865" w:type="dxa"/>
            <w:hideMark/>
          </w:tcPr>
          <w:p w:rsidR="0088412C" w:rsidRPr="0088412C" w:rsidRDefault="0088412C">
            <w:r w:rsidRPr="0088412C">
              <w:t xml:space="preserve">Description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Image Description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 xml:space="preserve">Building Plans 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527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ImagePath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Path of the folder where images is stored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d:/crowsoft/images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generate filename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BuildingQuote_idBuildingQuote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Foreign key for building </w:t>
            </w:r>
            <w:proofErr w:type="spellStart"/>
            <w:r w:rsidRPr="0088412C">
              <w:t>qoute</w:t>
            </w:r>
            <w:proofErr w:type="spellEnd"/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</w:tbl>
    <w:p w:rsidR="0088412C" w:rsidRPr="00794E70" w:rsidRDefault="0088412C">
      <w:pPr>
        <w:rPr>
          <w:lang w:val="en-IE"/>
        </w:rPr>
      </w:pPr>
    </w:p>
    <w:sectPr w:rsidR="0088412C" w:rsidRPr="00794E70" w:rsidSect="00EB10A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FBE" w:rsidRDefault="003E0FBE" w:rsidP="00CE14C2">
      <w:pPr>
        <w:spacing w:after="0" w:line="240" w:lineRule="auto"/>
      </w:pPr>
      <w:r>
        <w:separator/>
      </w:r>
    </w:p>
  </w:endnote>
  <w:endnote w:type="continuationSeparator" w:id="0">
    <w:p w:rsidR="003E0FBE" w:rsidRDefault="003E0FBE" w:rsidP="00CE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FBE" w:rsidRDefault="003E0FBE" w:rsidP="00CE14C2">
      <w:pPr>
        <w:spacing w:after="0" w:line="240" w:lineRule="auto"/>
      </w:pPr>
      <w:r>
        <w:separator/>
      </w:r>
    </w:p>
  </w:footnote>
  <w:footnote w:type="continuationSeparator" w:id="0">
    <w:p w:rsidR="003E0FBE" w:rsidRDefault="003E0FBE" w:rsidP="00CE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C2" w:rsidRDefault="00CE14C2">
    <w:pPr>
      <w:pStyle w:val="Header"/>
      <w:rPr>
        <w:lang w:val="en-IE"/>
      </w:rPr>
    </w:pPr>
    <w:r>
      <w:rPr>
        <w:lang w:val="en-IE"/>
      </w:rPr>
      <w:t>Date Created: 20/03/2019</w:t>
    </w:r>
  </w:p>
  <w:p w:rsidR="00FA7078" w:rsidRDefault="00FA7078">
    <w:pPr>
      <w:pStyle w:val="Header"/>
    </w:pPr>
    <w:r>
      <w:rPr>
        <w:lang w:val="en-IE"/>
      </w:rPr>
      <w:t>Date Updated: 21/03/2019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D518B"/>
    <w:multiLevelType w:val="hybridMultilevel"/>
    <w:tmpl w:val="35A8D3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E70"/>
    <w:rsid w:val="000C1EDC"/>
    <w:rsid w:val="001823CD"/>
    <w:rsid w:val="00240CE5"/>
    <w:rsid w:val="003C106E"/>
    <w:rsid w:val="003E0FBE"/>
    <w:rsid w:val="00422582"/>
    <w:rsid w:val="004244A4"/>
    <w:rsid w:val="0048145E"/>
    <w:rsid w:val="0049268D"/>
    <w:rsid w:val="00621DF3"/>
    <w:rsid w:val="00794E70"/>
    <w:rsid w:val="007C434F"/>
    <w:rsid w:val="0088412C"/>
    <w:rsid w:val="008C3DEC"/>
    <w:rsid w:val="00906839"/>
    <w:rsid w:val="00996349"/>
    <w:rsid w:val="00AB0496"/>
    <w:rsid w:val="00AB2C2B"/>
    <w:rsid w:val="00B2339E"/>
    <w:rsid w:val="00CC13A4"/>
    <w:rsid w:val="00CE14C2"/>
    <w:rsid w:val="00D46DDC"/>
    <w:rsid w:val="00E6160C"/>
    <w:rsid w:val="00EB10A1"/>
    <w:rsid w:val="00EB15E0"/>
    <w:rsid w:val="00EB2CF0"/>
    <w:rsid w:val="00FA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F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E6160C"/>
    <w:rPr>
      <w:color w:val="0000FF"/>
      <w:u w:val="single"/>
    </w:rPr>
  </w:style>
  <w:style w:type="table" w:styleId="TableGrid">
    <w:name w:val="Table Grid"/>
    <w:basedOn w:val="TableNormal"/>
    <w:uiPriority w:val="59"/>
    <w:rsid w:val="00B23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1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434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621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4C2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4C2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17</cp:revision>
  <dcterms:created xsi:type="dcterms:W3CDTF">2019-03-17T13:17:00Z</dcterms:created>
  <dcterms:modified xsi:type="dcterms:W3CDTF">2019-03-21T08:38:00Z</dcterms:modified>
</cp:coreProperties>
</file>