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7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5 Video 3 – Customizing the color palette for categorical data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tbl>
      <w:tblPr>
        <w:jc w:val="left"/>
        <w:tblInd w:type="dxa" w:w="-1278"/>
        <w:tblBorders/>
      </w:tblPr>
      <w:tblGrid>
        <w:gridCol w:w="528"/>
        <w:gridCol w:w="2630"/>
        <w:gridCol w:w="4101"/>
        <w:gridCol w:w="3407"/>
      </w:tblGrid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No.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Description</w:t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Action on screen</w:t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1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Refer to PPT</w:t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In this video, we’ll see how to override the default colour palette and make our own. 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2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The default colours for a categorical variables are chosen by picking up evenly-spaced hues and keeping luminance and chroma constant.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3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Switch to activity05_03.R on RStudio</w:t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Let’s have a look at a simple plot.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4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p &lt;- ggplot(diamonds) + geom_histogram(aes(x = cut,fill = clarity))</w:t>
            </w:r>
          </w:p>
          <w:p>
            <w:pPr>
              <w:pStyle w:val="style0"/>
            </w:pPr>
            <w:r>
              <w:rPr/>
              <w:t>p + ggtitle("default palette")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Eight colours, for eight categories, are automatically chosen by default. You can see the color progression from orange to brown to eventually pink expected by going round a colour wheel.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This is a simple enough system that gives good results.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5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bookmarkStart w:id="0" w:name="__DdeLink__183_1900650692"/>
            <w:bookmarkStart w:id="1" w:name="__DdeLink__183_1900650692"/>
            <w:bookmarkEnd w:id="1"/>
            <w:r>
              <w:rPr/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If you have a good idea of the color scheme you’re after, you can use </w:t>
            </w:r>
            <w:r>
              <w:rPr>
                <w:shd w:fill="FFFF00" w:val="clear"/>
              </w:rPr>
              <w:t>scale_something_manual</w:t>
            </w:r>
            <w:r>
              <w:rPr/>
              <w:t>, with which you spell out the colour for each value of your categorical variables.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Scale_colour_manual will override the palette for the ‘colour ‘ aesthetics and scale_fill_manual will override the palette for the ‘fill’ aesthetic.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6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p + scale_fill_manual(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  </w:t>
            </w:r>
            <w:r>
              <w:rPr/>
              <w:t>values = c( "I1" = "red", SI2 = "red", SI1 = "blue", "VS2" = "blue", "VS1" = "green", "VVS2" =  "green", "VVS1" = "black", "IF" = "#FEAC12"))</w:t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Run the next example.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7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Colours can be defined by name (‘red’, blue’ etc.) or by their RGB code.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8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Choosing a good palette is actually fairly difficult. Scale_colour_brewer and scale_fill_brewer offer a good collection of palettes that have been carefully designed to give a good contrast on geographical maps.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9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Switch to colorbrewer2.org</w:t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You can see them in action on the website colorbrewer2.org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10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Play with the interface while talking.</w:t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There you can choose between sequential, diverging  and qualitative palettes and see their effect.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The website also tells you whether it is suitable a colour-blind audience.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11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Back to RStudio.</w:t>
            </w:r>
          </w:p>
          <w:p>
            <w:pPr>
              <w:pStyle w:val="style0"/>
            </w:pPr>
            <w:r>
              <w:rPr/>
              <w:t>Highlight and run:</w:t>
            </w:r>
          </w:p>
          <w:p>
            <w:pPr>
              <w:pStyle w:val="style0"/>
            </w:pPr>
            <w:r>
              <w:rPr/>
              <w:t>p + scale_fill_brewer(type='qual',palette="Set1")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bookmarkStart w:id="2" w:name="_GoBack"/>
            <w:bookmarkEnd w:id="2"/>
            <w:r>
              <w:rPr/>
              <w:drawing>
                <wp:inline distB="0" distL="0" distR="0" distT="0">
                  <wp:extent cx="2468245" cy="197802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97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 used the palette ‘Set1’ of type ‘qualitative’ from colorbrewer2.org for our plot.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 xml:space="preserve">The colours chosen have a very sharp contrast and are very distinctive. </w:t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12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13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14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15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16</w:t>
            </w:r>
          </w:p>
        </w:tc>
        <w:tc>
          <w:tcPr>
            <w:tcW w:type="dxa" w:w="26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410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Back to PPT</w:t>
            </w:r>
          </w:p>
        </w:tc>
        <w:tc>
          <w:tcPr>
            <w:tcW w:type="dxa" w:w="3407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video, we’ve seen how to control the colour palette for categorical variables.</w:t>
            </w:r>
          </w:p>
          <w:p>
            <w:pPr>
              <w:pStyle w:val="style0"/>
              <w:widowControl/>
              <w:tabs>
                <w:tab w:leader="none" w:pos="720" w:val="left"/>
              </w:tabs>
              <w:suppressAutoHyphens w:val="true"/>
              <w:spacing w:after="200" w:before="0" w:line="276" w:lineRule="auto"/>
            </w:pPr>
            <w:r>
              <w:rPr/>
              <w:t>In the next section, we’ll see how to override the default palette for continuous variables.</w:t>
            </w:r>
          </w:p>
        </w:tc>
      </w:tr>
    </w:tbl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rFonts w:cs=""/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Normal1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0" w:type="paragraph">
    <w:name w:val="annotation text"/>
    <w:basedOn w:val="style0"/>
    <w:next w:val="style30"/>
    <w:pPr>
      <w:spacing w:line="100" w:lineRule="atLeast"/>
    </w:pPr>
    <w:rPr>
      <w:sz w:val="20"/>
      <w:szCs w:val="20"/>
    </w:rPr>
  </w:style>
  <w:style w:styleId="style31" w:type="paragraph">
    <w:name w:val="annotation subject"/>
    <w:basedOn w:val="style30"/>
    <w:next w:val="style31"/>
    <w:pPr/>
    <w:rPr>
      <w:b/>
      <w:bCs/>
    </w:rPr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3" w:type="paragraph">
    <w:name w:val="Intense Quote"/>
    <w:basedOn w:val="style0"/>
    <w:next w:val="style33"/>
    <w:pPr>
      <w:pBdr>
        <w:bottom w:color="4F81BD" w:space="0" w:sz="4" w:val="single"/>
      </w:pBdr>
      <w:spacing w:after="280" w:before="200"/>
      <w:ind w:hanging="0" w:left="936" w:right="936"/>
    </w:pPr>
    <w:rPr>
      <w:rFonts w:cs=""/>
      <w:b/>
      <w:bCs/>
      <w:i/>
      <w:iCs/>
      <w:color w:val="4F81BD"/>
    </w:rPr>
  </w:style>
  <w:style w:styleId="style34" w:type="paragraph">
    <w:name w:val="Header"/>
    <w:basedOn w:val="style0"/>
    <w:next w:val="style3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6" w:type="paragraph">
    <w:name w:val="Text Body"/>
    <w:basedOn w:val="style0"/>
    <w:next w:val="style36"/>
    <w:pPr>
      <w:widowControl w:val="false"/>
      <w:tabs>
        <w:tab w:leader="none" w:pos="425" w:val="left"/>
      </w:tabs>
      <w:suppressAutoHyphens w:val="true"/>
      <w:spacing w:after="0" w:before="113"/>
    </w:pPr>
    <w:rPr>
      <w:rFonts w:ascii="Calibri" w:cs="Tahoma" w:eastAsia="Arial" w:hAnsi="Calibri"/>
      <w:color w:val="800000"/>
      <w:sz w:val="24"/>
      <w:szCs w:val="24"/>
      <w:lang w:bidi="hi-IN" w:eastAsia="zh-CN" w:val="en-GB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Christophe Ladroue</cp:lastModifiedBy>
  <dcterms:modified xsi:type="dcterms:W3CDTF">2014-01-08T12:53:00.00Z</dcterms:modified>
  <cp:revision>76</cp:revision>
</cp:coreProperties>
</file>