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219C" w14:textId="77777777" w:rsidR="00672B57" w:rsidRDefault="00000000">
      <w:pPr>
        <w:spacing w:after="80"/>
      </w:pPr>
      <w:r>
        <w:rPr>
          <w:rFonts w:ascii="Calibri" w:eastAsia="Calibri" w:hAnsi="Calibri" w:cs="Calibri"/>
          <w:b/>
          <w:bCs/>
          <w:color w:val="8B2014"/>
          <w:spacing w:val="40"/>
          <w:sz w:val="16"/>
          <w:szCs w:val="16"/>
        </w:rPr>
        <w:t>COVERAGE STUDY   ·   FREE LAW PROJECT</w:t>
      </w:r>
    </w:p>
    <w:p w14:paraId="54AD2800" w14:textId="77777777" w:rsidR="00672B57" w:rsidRDefault="00000000">
      <w:pPr>
        <w:spacing w:after="120"/>
      </w:pPr>
      <w:r>
        <w:rPr>
          <w:b/>
          <w:bCs/>
          <w:color w:val="1A1614"/>
          <w:sz w:val="44"/>
          <w:szCs w:val="44"/>
        </w:rPr>
        <w:t>CourtListener coverage of cited cases</w:t>
      </w:r>
    </w:p>
    <w:p w14:paraId="11E46909" w14:textId="77777777" w:rsidR="00672B57" w:rsidRDefault="00000000">
      <w:pPr>
        <w:pBdr>
          <w:bottom w:val="double" w:sz="12" w:space="6" w:color="1A1614"/>
        </w:pBdr>
        <w:spacing w:after="320"/>
      </w:pPr>
      <w:r>
        <w:rPr>
          <w:i/>
          <w:iCs/>
          <w:color w:val="3D342E"/>
          <w:sz w:val="26"/>
          <w:szCs w:val="26"/>
        </w:rPr>
        <w:t>Findings from a 250-citation sample</w:t>
      </w:r>
    </w:p>
    <w:p w14:paraId="029E3A5E" w14:textId="77777777" w:rsidR="00672B57" w:rsidRDefault="00000000">
      <w:pPr>
        <w:spacing w:before="80" w:after="320"/>
      </w:pPr>
      <w:r>
        <w:rPr>
          <w:color w:val="1A1614"/>
        </w:rPr>
        <w:t>Rebecca Fordon, with Claude</w:t>
      </w:r>
      <w:r>
        <w:rPr>
          <w:color w:val="3D342E"/>
        </w:rPr>
        <w:t xml:space="preserve">   ·   May 17, 2026   ·   </w:t>
      </w:r>
      <w:r>
        <w:rPr>
          <w:i/>
          <w:iCs/>
          <w:color w:val="3D342E"/>
        </w:rPr>
        <w:t>Drafted for sharing with the Free Law Project / CourtListener team</w:t>
      </w:r>
    </w:p>
    <w:p w14:paraId="0B31CF31" w14:textId="77777777" w:rsidR="00672B57" w:rsidRDefault="00000000">
      <w:pPr>
        <w:spacing w:before="180" w:after="60"/>
      </w:pPr>
      <w:r>
        <w:rPr>
          <w:rFonts w:ascii="Calibri" w:eastAsia="Calibri" w:hAnsi="Calibri" w:cs="Calibri"/>
          <w:b/>
          <w:bCs/>
          <w:color w:val="8B2014"/>
          <w:spacing w:val="30"/>
          <w:sz w:val="18"/>
          <w:szCs w:val="18"/>
        </w:rPr>
        <w:t>THE FINDINGS, IN BRIEF</w:t>
      </w:r>
    </w:p>
    <w:p w14:paraId="10E63045" w14:textId="41092A7D" w:rsidR="00672B57" w:rsidRDefault="00000000">
      <w:pPr>
        <w:spacing w:before="60" w:after="120" w:line="300" w:lineRule="auto"/>
      </w:pPr>
      <w:r>
        <w:rPr>
          <w:color w:val="1A1614"/>
        </w:rPr>
        <w:t xml:space="preserve">We sampled 250 cited citations from 78 recent (2023–2026) opinions in CourtListener and tried to find each cited case in CL. After excluding 29 unmeasurable rows, </w:t>
      </w:r>
      <w:r>
        <w:rPr>
          <w:b/>
          <w:bCs/>
          <w:color w:val="1A1614"/>
        </w:rPr>
        <w:t>213 of 221 measurable citations (96.4%) are findable in CL</w:t>
      </w:r>
      <w:r>
        <w:rPr>
          <w:color w:val="1A1614"/>
        </w:rPr>
        <w:t xml:space="preserve"> — though only 170 (76.9%) are resolvable directly by the </w:t>
      </w:r>
      <w:r>
        <w:rPr>
          <w:rFonts w:ascii="Calibri" w:eastAsia="Calibri" w:hAnsi="Calibri" w:cs="Calibri"/>
          <w:color w:val="1A1614"/>
          <w:shd w:val="clear" w:color="auto" w:fill="EFE8DC"/>
        </w:rPr>
        <w:t>/citation-lookup/</w:t>
      </w:r>
      <w:r>
        <w:rPr>
          <w:color w:val="1A1614"/>
        </w:rPr>
        <w:t xml:space="preserve"> API. The rest required a name+date+court fallback</w:t>
      </w:r>
      <w:r w:rsidR="00AE7442">
        <w:rPr>
          <w:color w:val="1A1614"/>
        </w:rPr>
        <w:t xml:space="preserve"> or </w:t>
      </w:r>
      <w:r>
        <w:rPr>
          <w:color w:val="1A1614"/>
        </w:rPr>
        <w:t>manual investigation</w:t>
      </w:r>
      <w:r w:rsidR="00AE7442">
        <w:rPr>
          <w:color w:val="1A1614"/>
        </w:rPr>
        <w:t>.</w:t>
      </w:r>
    </w:p>
    <w:p w14:paraId="643FE78E" w14:textId="77777777" w:rsidR="00CE77F7" w:rsidRDefault="00CE77F7" w:rsidP="00CE77F7">
      <w:pPr>
        <w:spacing w:before="100" w:after="100"/>
        <w:jc w:val="center"/>
      </w:pPr>
      <w:r>
        <w:rPr>
          <w:noProof/>
        </w:rPr>
        <w:drawing>
          <wp:inline distT="0" distB="0" distL="0" distR="0" wp14:anchorId="4556F54D" wp14:editId="340D73A7">
            <wp:extent cx="6217920" cy="3260333"/>
            <wp:effectExtent l="0" t="0" r="0" b="0"/>
            <wp:docPr id="1564556685" name="Picture 15645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17920" cy="3260333"/>
                    </a:xfrm>
                    <a:prstGeom prst="rect">
                      <a:avLst/>
                    </a:prstGeom>
                  </pic:spPr>
                </pic:pic>
              </a:graphicData>
            </a:graphic>
          </wp:inline>
        </w:drawing>
      </w:r>
    </w:p>
    <w:p w14:paraId="02A31485" w14:textId="0015C05C" w:rsidR="00CE77F7" w:rsidRDefault="00CE77F7" w:rsidP="00CE77F7">
      <w:pPr>
        <w:spacing w:after="240"/>
        <w:jc w:val="center"/>
      </w:pPr>
      <w:r>
        <w:rPr>
          <w:rFonts w:ascii="Calibri" w:eastAsia="Calibri" w:hAnsi="Calibri" w:cs="Calibri"/>
          <w:b/>
          <w:bCs/>
          <w:color w:val="8B2014"/>
          <w:sz w:val="18"/>
          <w:szCs w:val="18"/>
        </w:rPr>
        <w:t xml:space="preserve">Figure 1.  </w:t>
      </w:r>
      <w:r w:rsidR="00AE7442">
        <w:rPr>
          <w:b/>
          <w:bCs/>
          <w:color w:val="1A1614"/>
          <w:sz w:val="20"/>
          <w:szCs w:val="20"/>
        </w:rPr>
        <w:t>How we located citations</w:t>
      </w:r>
      <w:r>
        <w:rPr>
          <w:b/>
          <w:bCs/>
          <w:color w:val="1A1614"/>
          <w:sz w:val="20"/>
          <w:szCs w:val="20"/>
        </w:rPr>
        <w:t>.</w:t>
      </w:r>
      <w:r>
        <w:rPr>
          <w:i/>
          <w:iCs/>
          <w:color w:val="3D342E"/>
          <w:sz w:val="20"/>
          <w:szCs w:val="20"/>
        </w:rPr>
        <w:t xml:space="preserve">  </w:t>
      </w:r>
    </w:p>
    <w:p w14:paraId="57AB6A72" w14:textId="07706F87" w:rsidR="00804204" w:rsidRPr="00CE77F7" w:rsidRDefault="00000000" w:rsidP="00CE77F7">
      <w:pPr>
        <w:jc w:val="center"/>
        <w:rPr>
          <w:b/>
          <w:bCs/>
          <w:color w:val="1A1614"/>
          <w:sz w:val="23"/>
          <w:szCs w:val="23"/>
        </w:rPr>
      </w:pPr>
      <w:r>
        <w:rPr>
          <w:color w:val="D4C9B6"/>
          <w:sz w:val="24"/>
          <w:szCs w:val="24"/>
        </w:rPr>
        <w:t>§   §   §</w:t>
      </w:r>
    </w:p>
    <w:p w14:paraId="0499B200" w14:textId="77777777" w:rsidR="00CE77F7" w:rsidRDefault="00CE77F7">
      <w:pPr>
        <w:rPr>
          <w:b/>
          <w:bCs/>
          <w:color w:val="1A1614"/>
          <w:sz w:val="32"/>
          <w:szCs w:val="32"/>
        </w:rPr>
      </w:pPr>
      <w:r>
        <w:br w:type="page"/>
      </w:r>
    </w:p>
    <w:p w14:paraId="087B275D" w14:textId="2AD91389" w:rsidR="00672B57" w:rsidRDefault="008900B6">
      <w:pPr>
        <w:pStyle w:val="Heading1"/>
        <w:pBdr>
          <w:bottom w:val="single" w:sz="8" w:space="4" w:color="D4C9B6"/>
        </w:pBdr>
      </w:pPr>
      <w:r>
        <w:lastRenderedPageBreak/>
        <w:t>Coverage by court</w:t>
      </w:r>
    </w:p>
    <w:p w14:paraId="77A1E077" w14:textId="6F614550" w:rsidR="00672B57" w:rsidRDefault="00DB710C">
      <w:pPr>
        <w:spacing w:before="100" w:after="100"/>
        <w:jc w:val="center"/>
      </w:pPr>
      <w:r>
        <w:rPr>
          <w:noProof/>
        </w:rPr>
        <w:drawing>
          <wp:inline distT="0" distB="0" distL="0" distR="0" wp14:anchorId="01AD0E58" wp14:editId="670BF83E">
            <wp:extent cx="6217920" cy="3462020"/>
            <wp:effectExtent l="0" t="0" r="0" b="5080"/>
            <wp:docPr id="155680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03722" name="Picture 1556803722"/>
                    <pic:cNvPicPr>
                      <a:picLocks noChangeAspect="1"/>
                    </pic:cNvPicPr>
                  </pic:nvPicPr>
                  <pic:blipFill>
                    <a:blip r:embed="rId8"/>
                    <a:srcRect/>
                    <a:stretch>
                      <a:fillRect/>
                    </a:stretch>
                  </pic:blipFill>
                  <pic:spPr bwMode="auto">
                    <a:xfrm>
                      <a:off x="0" y="0"/>
                      <a:ext cx="6217920" cy="3462020"/>
                    </a:xfrm>
                    <a:prstGeom prst="rect">
                      <a:avLst/>
                    </a:prstGeom>
                  </pic:spPr>
                </pic:pic>
              </a:graphicData>
            </a:graphic>
          </wp:inline>
        </w:drawing>
      </w:r>
    </w:p>
    <w:p w14:paraId="182D3297" w14:textId="4681D8A2" w:rsidR="00672B57" w:rsidRDefault="00000000">
      <w:pPr>
        <w:spacing w:after="240"/>
        <w:jc w:val="center"/>
      </w:pPr>
      <w:r>
        <w:rPr>
          <w:rFonts w:ascii="Calibri" w:eastAsia="Calibri" w:hAnsi="Calibri" w:cs="Calibri"/>
          <w:b/>
          <w:bCs/>
          <w:color w:val="8B2014"/>
          <w:sz w:val="18"/>
          <w:szCs w:val="18"/>
        </w:rPr>
        <w:t xml:space="preserve">Figure </w:t>
      </w:r>
      <w:r w:rsidR="001A5967">
        <w:rPr>
          <w:rFonts w:ascii="Calibri" w:eastAsia="Calibri" w:hAnsi="Calibri" w:cs="Calibri"/>
          <w:b/>
          <w:bCs/>
          <w:color w:val="8B2014"/>
          <w:sz w:val="18"/>
          <w:szCs w:val="18"/>
        </w:rPr>
        <w:t>2</w:t>
      </w:r>
      <w:r>
        <w:rPr>
          <w:rFonts w:ascii="Calibri" w:eastAsia="Calibri" w:hAnsi="Calibri" w:cs="Calibri"/>
          <w:b/>
          <w:bCs/>
          <w:color w:val="8B2014"/>
          <w:sz w:val="18"/>
          <w:szCs w:val="18"/>
        </w:rPr>
        <w:t xml:space="preserve">.  </w:t>
      </w:r>
      <w:r w:rsidR="00DB710C">
        <w:rPr>
          <w:b/>
          <w:bCs/>
          <w:color w:val="1A1614"/>
          <w:sz w:val="20"/>
          <w:szCs w:val="20"/>
        </w:rPr>
        <w:t>Coverage by court tier</w:t>
      </w:r>
      <w:r>
        <w:rPr>
          <w:b/>
          <w:bCs/>
          <w:color w:val="1A1614"/>
          <w:sz w:val="20"/>
          <w:szCs w:val="20"/>
        </w:rPr>
        <w:t>.</w:t>
      </w:r>
      <w:r>
        <w:rPr>
          <w:i/>
          <w:iCs/>
          <w:color w:val="3D342E"/>
          <w:sz w:val="20"/>
          <w:szCs w:val="20"/>
        </w:rPr>
        <w:t xml:space="preserve">  </w:t>
      </w:r>
      <w:r w:rsidR="00DB710C" w:rsidRPr="00DB710C">
        <w:rPr>
          <w:i/>
          <w:iCs/>
          <w:color w:val="3D342E"/>
          <w:sz w:val="20"/>
          <w:szCs w:val="20"/>
        </w:rPr>
        <w:t>Each bar represents 100% of citations in that tier, segmented by how the case was found</w:t>
      </w:r>
      <w:r w:rsidR="00DB710C">
        <w:rPr>
          <w:i/>
          <w:iCs/>
          <w:color w:val="3D342E"/>
          <w:sz w:val="20"/>
          <w:szCs w:val="20"/>
        </w:rPr>
        <w:t xml:space="preserve"> (or not found)</w:t>
      </w:r>
    </w:p>
    <w:p w14:paraId="18FA79FD" w14:textId="1EFF32F1" w:rsidR="00672B57" w:rsidRDefault="00000000">
      <w:pPr>
        <w:spacing w:before="60" w:after="120" w:line="300" w:lineRule="auto"/>
      </w:pPr>
      <w:r>
        <w:rPr>
          <w:color w:val="1A1614"/>
        </w:rPr>
        <w:t>The two rates diverge most for Federal</w:t>
      </w:r>
      <w:r w:rsidR="00AE7442">
        <w:rPr>
          <w:color w:val="1A1614"/>
        </w:rPr>
        <w:t xml:space="preserve"> </w:t>
      </w:r>
      <w:r>
        <w:rPr>
          <w:color w:val="1A1614"/>
        </w:rPr>
        <w:t>District (</w:t>
      </w:r>
      <w:r>
        <w:rPr>
          <w:b/>
          <w:bCs/>
          <w:color w:val="1A1614"/>
        </w:rPr>
        <w:t>37.5% via lookup vs. 93.8% total — a 56-point gap</w:t>
      </w:r>
      <w:r w:rsidR="00AE7442">
        <w:rPr>
          <w:b/>
          <w:bCs/>
          <w:color w:val="1A1614"/>
        </w:rPr>
        <w:t>, representing 27 opinions</w:t>
      </w:r>
      <w:r>
        <w:rPr>
          <w:color w:val="1A1614"/>
        </w:rPr>
        <w:t>), driven almost entirely by WL cites</w:t>
      </w:r>
      <w:r w:rsidR="00AE7442">
        <w:rPr>
          <w:color w:val="1A1614"/>
        </w:rPr>
        <w:t>, along with a few F. Supp. 2d citations; we recovered most of these via opinions, but a few (7) through RECAP.</w:t>
      </w:r>
      <w:r>
        <w:rPr>
          <w:color w:val="1A1614"/>
        </w:rPr>
        <w:t xml:space="preserve"> </w:t>
      </w:r>
      <w:r>
        <w:rPr>
          <w:b/>
          <w:bCs/>
          <w:color w:val="1A1614"/>
        </w:rPr>
        <w:t>State_IAC</w:t>
      </w:r>
      <w:r>
        <w:rPr>
          <w:color w:val="1A1614"/>
        </w:rPr>
        <w:t xml:space="preserve"> also shows a wide gap (68.4% vs. 94.7%, 26-point spread), driven </w:t>
      </w:r>
      <w:r w:rsidR="00AE7442">
        <w:rPr>
          <w:color w:val="1A1614"/>
        </w:rPr>
        <w:t>by opinions in CourtListener without a print citation</w:t>
      </w:r>
      <w:r>
        <w:rPr>
          <w:color w:val="1A1614"/>
        </w:rPr>
        <w:t>. SCOTUS shows no gap at all.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680"/>
        <w:gridCol w:w="1440"/>
        <w:gridCol w:w="1680"/>
        <w:gridCol w:w="1560"/>
        <w:gridCol w:w="1560"/>
      </w:tblGrid>
      <w:tr w:rsidR="00672B57" w14:paraId="796B97E9" w14:textId="77777777">
        <w:trPr>
          <w:tblHeader/>
        </w:trPr>
        <w:tc>
          <w:tcPr>
            <w:tcW w:w="216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5C269C0D" w14:textId="77777777" w:rsidR="00672B57" w:rsidRDefault="00000000">
            <w:r>
              <w:rPr>
                <w:rFonts w:ascii="Calibri" w:eastAsia="Calibri" w:hAnsi="Calibri" w:cs="Calibri"/>
                <w:b/>
                <w:bCs/>
                <w:color w:val="1A1614"/>
                <w:sz w:val="18"/>
                <w:szCs w:val="18"/>
              </w:rPr>
              <w:t>Tier</w:t>
            </w:r>
          </w:p>
        </w:tc>
        <w:tc>
          <w:tcPr>
            <w:tcW w:w="168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503D80F4" w14:textId="77777777" w:rsidR="00672B57" w:rsidRDefault="00000000">
            <w:pPr>
              <w:jc w:val="right"/>
            </w:pPr>
            <w:r>
              <w:rPr>
                <w:rFonts w:ascii="Calibri" w:eastAsia="Calibri" w:hAnsi="Calibri" w:cs="Calibri"/>
                <w:b/>
                <w:bCs/>
                <w:color w:val="1A1614"/>
                <w:sz w:val="18"/>
                <w:szCs w:val="18"/>
              </w:rPr>
              <w:t>Found via lookup</w:t>
            </w:r>
          </w:p>
        </w:tc>
        <w:tc>
          <w:tcPr>
            <w:tcW w:w="144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6288EF80" w14:textId="538A6287" w:rsidR="00672B57" w:rsidRDefault="002E3117">
            <w:pPr>
              <w:jc w:val="right"/>
            </w:pPr>
            <w:r>
              <w:rPr>
                <w:rFonts w:ascii="Calibri" w:eastAsia="Calibri" w:hAnsi="Calibri" w:cs="Calibri"/>
                <w:b/>
                <w:bCs/>
                <w:color w:val="1A1614"/>
                <w:sz w:val="18"/>
                <w:szCs w:val="18"/>
              </w:rPr>
              <w:t xml:space="preserve">+ recovered by citation-verifier </w:t>
            </w:r>
          </w:p>
        </w:tc>
        <w:tc>
          <w:tcPr>
            <w:tcW w:w="168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3A58D9B1" w14:textId="04864025" w:rsidR="00672B57" w:rsidRDefault="002E3117">
            <w:pPr>
              <w:jc w:val="right"/>
            </w:pPr>
            <w:r>
              <w:rPr>
                <w:rFonts w:ascii="Calibri" w:eastAsia="Calibri" w:hAnsi="Calibri" w:cs="Calibri"/>
                <w:b/>
                <w:bCs/>
                <w:color w:val="1A1614"/>
                <w:sz w:val="18"/>
                <w:szCs w:val="18"/>
              </w:rPr>
              <w:t>+ recovered manually</w:t>
            </w:r>
          </w:p>
        </w:tc>
        <w:tc>
          <w:tcPr>
            <w:tcW w:w="156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7DA42D1E" w14:textId="77777777" w:rsidR="00672B57" w:rsidRDefault="00000000">
            <w:pPr>
              <w:jc w:val="right"/>
            </w:pPr>
            <w:r>
              <w:rPr>
                <w:rFonts w:ascii="Calibri" w:eastAsia="Calibri" w:hAnsi="Calibri" w:cs="Calibri"/>
                <w:b/>
                <w:bCs/>
                <w:color w:val="1A1614"/>
                <w:sz w:val="18"/>
                <w:szCs w:val="18"/>
              </w:rPr>
              <w:t>Lookup rate</w:t>
            </w:r>
          </w:p>
        </w:tc>
        <w:tc>
          <w:tcPr>
            <w:tcW w:w="156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1E63E597" w14:textId="77777777" w:rsidR="00672B57" w:rsidRDefault="00000000">
            <w:pPr>
              <w:jc w:val="right"/>
            </w:pPr>
            <w:r>
              <w:rPr>
                <w:rFonts w:ascii="Calibri" w:eastAsia="Calibri" w:hAnsi="Calibri" w:cs="Calibri"/>
                <w:b/>
                <w:bCs/>
                <w:color w:val="1A1614"/>
                <w:sz w:val="18"/>
                <w:szCs w:val="18"/>
              </w:rPr>
              <w:t>Total coverage</w:t>
            </w:r>
          </w:p>
        </w:tc>
      </w:tr>
      <w:tr w:rsidR="002E3117" w14:paraId="0D636320" w14:textId="77777777">
        <w:tc>
          <w:tcPr>
            <w:tcW w:w="21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2FAFBF7B" w14:textId="157D399B" w:rsidR="002E3117" w:rsidRPr="002E3117" w:rsidRDefault="002E3117" w:rsidP="002E3117">
            <w:pPr>
              <w:rPr>
                <w:sz w:val="21"/>
                <w:szCs w:val="21"/>
              </w:rPr>
            </w:pPr>
            <w:r w:rsidRPr="002E3117">
              <w:rPr>
                <w:sz w:val="21"/>
                <w:szCs w:val="21"/>
              </w:rPr>
              <w:t>SCOTUS</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45192A7" w14:textId="273F9A03" w:rsidR="002E3117" w:rsidRPr="002E3117" w:rsidRDefault="002E3117" w:rsidP="002E3117">
            <w:pPr>
              <w:jc w:val="right"/>
              <w:rPr>
                <w:sz w:val="21"/>
                <w:szCs w:val="21"/>
              </w:rPr>
            </w:pPr>
            <w:r w:rsidRPr="002E3117">
              <w:rPr>
                <w:sz w:val="21"/>
                <w:szCs w:val="21"/>
              </w:rPr>
              <w:t>45</w:t>
            </w:r>
          </w:p>
        </w:tc>
        <w:tc>
          <w:tcPr>
            <w:tcW w:w="144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873B04A" w14:textId="0EEFE953" w:rsidR="002E3117" w:rsidRPr="002E3117" w:rsidRDefault="002E3117" w:rsidP="002E3117">
            <w:pPr>
              <w:jc w:val="right"/>
              <w:rPr>
                <w:sz w:val="21"/>
                <w:szCs w:val="21"/>
              </w:rPr>
            </w:pPr>
            <w:r w:rsidRPr="002E3117">
              <w:rPr>
                <w:sz w:val="21"/>
                <w:szCs w:val="21"/>
              </w:rPr>
              <w:t>+0</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93ED363" w14:textId="5DFE441E" w:rsidR="002E3117" w:rsidRPr="002E3117" w:rsidRDefault="002E3117" w:rsidP="002E3117">
            <w:pPr>
              <w:jc w:val="right"/>
              <w:rPr>
                <w:sz w:val="21"/>
                <w:szCs w:val="21"/>
              </w:rPr>
            </w:pPr>
            <w:r w:rsidRPr="002E3117">
              <w:rPr>
                <w:sz w:val="21"/>
                <w:szCs w:val="21"/>
              </w:rPr>
              <w:t>+0</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A4041E7" w14:textId="45DBCF22" w:rsidR="002E3117" w:rsidRPr="002E3117" w:rsidRDefault="002E3117" w:rsidP="002E3117">
            <w:pPr>
              <w:jc w:val="right"/>
              <w:rPr>
                <w:sz w:val="21"/>
                <w:szCs w:val="21"/>
              </w:rPr>
            </w:pPr>
            <w:r w:rsidRPr="002E3117">
              <w:rPr>
                <w:sz w:val="21"/>
                <w:szCs w:val="21"/>
              </w:rPr>
              <w:t>45</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2E2CF297" w14:textId="2B38AE22" w:rsidR="002E3117" w:rsidRPr="002E3117" w:rsidRDefault="002E3117" w:rsidP="002E3117">
            <w:pPr>
              <w:jc w:val="right"/>
              <w:rPr>
                <w:sz w:val="21"/>
                <w:szCs w:val="21"/>
              </w:rPr>
            </w:pPr>
            <w:r w:rsidRPr="002E3117">
              <w:rPr>
                <w:sz w:val="21"/>
                <w:szCs w:val="21"/>
              </w:rPr>
              <w:t>45</w:t>
            </w:r>
          </w:p>
        </w:tc>
      </w:tr>
      <w:tr w:rsidR="002E3117" w14:paraId="51E12E9F" w14:textId="77777777">
        <w:tc>
          <w:tcPr>
            <w:tcW w:w="21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38DE750D" w14:textId="308D9EBD" w:rsidR="002E3117" w:rsidRPr="002E3117" w:rsidRDefault="002E3117" w:rsidP="002E3117">
            <w:pPr>
              <w:rPr>
                <w:sz w:val="21"/>
                <w:szCs w:val="21"/>
              </w:rPr>
            </w:pPr>
            <w:r w:rsidRPr="002E3117">
              <w:rPr>
                <w:sz w:val="21"/>
                <w:szCs w:val="21"/>
              </w:rPr>
              <w:t>Circuit</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93D56ED" w14:textId="2212A597" w:rsidR="002E3117" w:rsidRPr="002E3117" w:rsidRDefault="002E3117" w:rsidP="002E3117">
            <w:pPr>
              <w:jc w:val="right"/>
              <w:rPr>
                <w:sz w:val="21"/>
                <w:szCs w:val="21"/>
              </w:rPr>
            </w:pPr>
            <w:r w:rsidRPr="002E3117">
              <w:rPr>
                <w:sz w:val="21"/>
                <w:szCs w:val="21"/>
              </w:rPr>
              <w:t>43</w:t>
            </w:r>
          </w:p>
        </w:tc>
        <w:tc>
          <w:tcPr>
            <w:tcW w:w="144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513CAED1" w14:textId="593CAD1D" w:rsidR="002E3117" w:rsidRPr="002E3117" w:rsidRDefault="002E3117" w:rsidP="002E3117">
            <w:pPr>
              <w:jc w:val="right"/>
              <w:rPr>
                <w:sz w:val="21"/>
                <w:szCs w:val="21"/>
              </w:rPr>
            </w:pPr>
            <w:r w:rsidRPr="002E3117">
              <w:rPr>
                <w:sz w:val="21"/>
                <w:szCs w:val="21"/>
              </w:rPr>
              <w:t>+1</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200B7746" w14:textId="6DAD2D56" w:rsidR="002E3117" w:rsidRPr="002E3117" w:rsidRDefault="002E3117" w:rsidP="002E3117">
            <w:pPr>
              <w:jc w:val="right"/>
              <w:rPr>
                <w:sz w:val="21"/>
                <w:szCs w:val="21"/>
              </w:rPr>
            </w:pPr>
            <w:r w:rsidRPr="002E3117">
              <w:rPr>
                <w:sz w:val="21"/>
                <w:szCs w:val="21"/>
              </w:rPr>
              <w:t>+1</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2EB68C1" w14:textId="54717E48" w:rsidR="002E3117" w:rsidRPr="002E3117" w:rsidRDefault="002E3117" w:rsidP="002E3117">
            <w:pPr>
              <w:jc w:val="right"/>
              <w:rPr>
                <w:sz w:val="21"/>
                <w:szCs w:val="21"/>
              </w:rPr>
            </w:pPr>
            <w:r w:rsidRPr="002E3117">
              <w:rPr>
                <w:sz w:val="21"/>
                <w:szCs w:val="21"/>
              </w:rPr>
              <w:t>45</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C1EBA62" w14:textId="1075F248" w:rsidR="002E3117" w:rsidRPr="002E3117" w:rsidRDefault="002E3117" w:rsidP="002E3117">
            <w:pPr>
              <w:jc w:val="right"/>
              <w:rPr>
                <w:sz w:val="21"/>
                <w:szCs w:val="21"/>
              </w:rPr>
            </w:pPr>
            <w:r w:rsidRPr="002E3117">
              <w:rPr>
                <w:sz w:val="21"/>
                <w:szCs w:val="21"/>
              </w:rPr>
              <w:t>46</w:t>
            </w:r>
          </w:p>
        </w:tc>
      </w:tr>
      <w:tr w:rsidR="002E3117" w14:paraId="6A0C38FD" w14:textId="77777777">
        <w:tc>
          <w:tcPr>
            <w:tcW w:w="21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6C66E9D" w14:textId="0096FFF7" w:rsidR="002E3117" w:rsidRPr="002E3117" w:rsidRDefault="002E3117" w:rsidP="002E3117">
            <w:pPr>
              <w:rPr>
                <w:sz w:val="21"/>
                <w:szCs w:val="21"/>
              </w:rPr>
            </w:pPr>
            <w:r w:rsidRPr="002E3117">
              <w:rPr>
                <w:sz w:val="21"/>
                <w:szCs w:val="21"/>
              </w:rPr>
              <w:t>State_COLR</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58E699B" w14:textId="0BF1F988" w:rsidR="002E3117" w:rsidRPr="002E3117" w:rsidRDefault="002E3117" w:rsidP="002E3117">
            <w:pPr>
              <w:jc w:val="right"/>
              <w:rPr>
                <w:sz w:val="21"/>
                <w:szCs w:val="21"/>
              </w:rPr>
            </w:pPr>
            <w:r w:rsidRPr="002E3117">
              <w:rPr>
                <w:sz w:val="21"/>
                <w:szCs w:val="21"/>
              </w:rPr>
              <w:t>38</w:t>
            </w:r>
          </w:p>
        </w:tc>
        <w:tc>
          <w:tcPr>
            <w:tcW w:w="144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37640B8" w14:textId="2A308978" w:rsidR="002E3117" w:rsidRPr="002E3117" w:rsidRDefault="002E3117" w:rsidP="002E3117">
            <w:pPr>
              <w:jc w:val="right"/>
              <w:rPr>
                <w:sz w:val="21"/>
                <w:szCs w:val="21"/>
              </w:rPr>
            </w:pPr>
            <w:r w:rsidRPr="002E3117">
              <w:rPr>
                <w:sz w:val="21"/>
                <w:szCs w:val="21"/>
              </w:rPr>
              <w:t>+2</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6A9D8B6A" w14:textId="30725C93" w:rsidR="002E3117" w:rsidRPr="002E3117" w:rsidRDefault="002E3117" w:rsidP="002E3117">
            <w:pPr>
              <w:jc w:val="right"/>
              <w:rPr>
                <w:sz w:val="21"/>
                <w:szCs w:val="21"/>
              </w:rPr>
            </w:pPr>
            <w:r w:rsidRPr="002E3117">
              <w:rPr>
                <w:sz w:val="21"/>
                <w:szCs w:val="21"/>
              </w:rPr>
              <w:t>+2</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38FA40AB" w14:textId="3BF5C234" w:rsidR="002E3117" w:rsidRPr="002E3117" w:rsidRDefault="002E3117" w:rsidP="002E3117">
            <w:pPr>
              <w:jc w:val="right"/>
              <w:rPr>
                <w:sz w:val="21"/>
                <w:szCs w:val="21"/>
              </w:rPr>
            </w:pPr>
            <w:r w:rsidRPr="002E3117">
              <w:rPr>
                <w:sz w:val="21"/>
                <w:szCs w:val="21"/>
              </w:rPr>
              <w:t>42</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38FADD2" w14:textId="40922740" w:rsidR="002E3117" w:rsidRPr="002E3117" w:rsidRDefault="002E3117" w:rsidP="002E3117">
            <w:pPr>
              <w:jc w:val="right"/>
              <w:rPr>
                <w:sz w:val="21"/>
                <w:szCs w:val="21"/>
              </w:rPr>
            </w:pPr>
            <w:r w:rsidRPr="002E3117">
              <w:rPr>
                <w:sz w:val="21"/>
                <w:szCs w:val="21"/>
              </w:rPr>
              <w:t>44</w:t>
            </w:r>
          </w:p>
        </w:tc>
      </w:tr>
      <w:tr w:rsidR="002E3117" w14:paraId="73576B7E" w14:textId="77777777">
        <w:tc>
          <w:tcPr>
            <w:tcW w:w="21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1F32ABB" w14:textId="771C0BF5" w:rsidR="002E3117" w:rsidRPr="002E3117" w:rsidRDefault="002E3117" w:rsidP="002E3117">
            <w:pPr>
              <w:rPr>
                <w:sz w:val="21"/>
                <w:szCs w:val="21"/>
              </w:rPr>
            </w:pPr>
            <w:r w:rsidRPr="002E3117">
              <w:rPr>
                <w:sz w:val="21"/>
                <w:szCs w:val="21"/>
              </w:rPr>
              <w:t>State_IAC</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8BB4C8F" w14:textId="4C8B9454" w:rsidR="002E3117" w:rsidRPr="002E3117" w:rsidRDefault="002E3117" w:rsidP="002E3117">
            <w:pPr>
              <w:jc w:val="right"/>
              <w:rPr>
                <w:sz w:val="21"/>
                <w:szCs w:val="21"/>
              </w:rPr>
            </w:pPr>
            <w:r w:rsidRPr="002E3117">
              <w:rPr>
                <w:sz w:val="21"/>
                <w:szCs w:val="21"/>
              </w:rPr>
              <w:t>26</w:t>
            </w:r>
          </w:p>
        </w:tc>
        <w:tc>
          <w:tcPr>
            <w:tcW w:w="144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6474D0E8" w14:textId="49C55066" w:rsidR="002E3117" w:rsidRPr="002E3117" w:rsidRDefault="002E3117" w:rsidP="002E3117">
            <w:pPr>
              <w:jc w:val="right"/>
              <w:rPr>
                <w:sz w:val="21"/>
                <w:szCs w:val="21"/>
              </w:rPr>
            </w:pPr>
            <w:r w:rsidRPr="002E3117">
              <w:rPr>
                <w:sz w:val="21"/>
                <w:szCs w:val="21"/>
              </w:rPr>
              <w:t>+5</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07F2EA4" w14:textId="67670445" w:rsidR="002E3117" w:rsidRPr="002E3117" w:rsidRDefault="002E3117" w:rsidP="002E3117">
            <w:pPr>
              <w:jc w:val="right"/>
              <w:rPr>
                <w:sz w:val="21"/>
                <w:szCs w:val="21"/>
              </w:rPr>
            </w:pPr>
            <w:r w:rsidRPr="002E3117">
              <w:rPr>
                <w:sz w:val="21"/>
                <w:szCs w:val="21"/>
              </w:rPr>
              <w:t>+5</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5A2D4C07" w14:textId="200D6D60" w:rsidR="002E3117" w:rsidRPr="002E3117" w:rsidRDefault="002E3117" w:rsidP="002E3117">
            <w:pPr>
              <w:jc w:val="right"/>
              <w:rPr>
                <w:sz w:val="21"/>
                <w:szCs w:val="21"/>
              </w:rPr>
            </w:pPr>
            <w:r w:rsidRPr="002E3117">
              <w:rPr>
                <w:sz w:val="21"/>
                <w:szCs w:val="21"/>
              </w:rPr>
              <w:t>36</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6CA8B87" w14:textId="61A8D0D0" w:rsidR="002E3117" w:rsidRPr="002E3117" w:rsidRDefault="002E3117" w:rsidP="002E3117">
            <w:pPr>
              <w:jc w:val="right"/>
              <w:rPr>
                <w:sz w:val="21"/>
                <w:szCs w:val="21"/>
              </w:rPr>
            </w:pPr>
            <w:r w:rsidRPr="002E3117">
              <w:rPr>
                <w:sz w:val="21"/>
                <w:szCs w:val="21"/>
              </w:rPr>
              <w:t>38</w:t>
            </w:r>
          </w:p>
        </w:tc>
      </w:tr>
      <w:tr w:rsidR="002E3117" w14:paraId="3EC811AB" w14:textId="77777777">
        <w:tc>
          <w:tcPr>
            <w:tcW w:w="21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BC3BC7A" w14:textId="03521251" w:rsidR="002E3117" w:rsidRPr="002E3117" w:rsidRDefault="002E3117" w:rsidP="002E3117">
            <w:pPr>
              <w:rPr>
                <w:sz w:val="21"/>
                <w:szCs w:val="21"/>
              </w:rPr>
            </w:pPr>
            <w:r w:rsidRPr="002E3117">
              <w:rPr>
                <w:sz w:val="21"/>
                <w:szCs w:val="21"/>
              </w:rPr>
              <w:t>Federal_District</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F229054" w14:textId="4306D75A" w:rsidR="002E3117" w:rsidRPr="002E3117" w:rsidRDefault="002E3117" w:rsidP="002E3117">
            <w:pPr>
              <w:jc w:val="right"/>
              <w:rPr>
                <w:sz w:val="21"/>
                <w:szCs w:val="21"/>
              </w:rPr>
            </w:pPr>
            <w:r w:rsidRPr="002E3117">
              <w:rPr>
                <w:sz w:val="21"/>
                <w:szCs w:val="21"/>
              </w:rPr>
              <w:t>18</w:t>
            </w:r>
          </w:p>
        </w:tc>
        <w:tc>
          <w:tcPr>
            <w:tcW w:w="144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C07B1AC" w14:textId="72C4241C" w:rsidR="002E3117" w:rsidRPr="002E3117" w:rsidRDefault="002E3117" w:rsidP="002E3117">
            <w:pPr>
              <w:jc w:val="right"/>
              <w:rPr>
                <w:sz w:val="21"/>
                <w:szCs w:val="21"/>
              </w:rPr>
            </w:pPr>
            <w:r w:rsidRPr="002E3117">
              <w:rPr>
                <w:sz w:val="21"/>
                <w:szCs w:val="21"/>
              </w:rPr>
              <w:t>+19</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E37CE15" w14:textId="44AB1F00" w:rsidR="002E3117" w:rsidRPr="002E3117" w:rsidRDefault="002E3117" w:rsidP="002E3117">
            <w:pPr>
              <w:jc w:val="right"/>
              <w:rPr>
                <w:sz w:val="21"/>
                <w:szCs w:val="21"/>
              </w:rPr>
            </w:pPr>
            <w:r w:rsidRPr="002E3117">
              <w:rPr>
                <w:sz w:val="21"/>
                <w:szCs w:val="21"/>
              </w:rPr>
              <w:t>+8</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5DE9B0C0" w14:textId="393ACB0B" w:rsidR="002E3117" w:rsidRPr="002E3117" w:rsidRDefault="002E3117" w:rsidP="002E3117">
            <w:pPr>
              <w:jc w:val="right"/>
              <w:rPr>
                <w:sz w:val="21"/>
                <w:szCs w:val="21"/>
              </w:rPr>
            </w:pPr>
            <w:r w:rsidRPr="002E3117">
              <w:rPr>
                <w:sz w:val="21"/>
                <w:szCs w:val="21"/>
              </w:rPr>
              <w:t>45</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692EADA2" w14:textId="62C0A47F" w:rsidR="002E3117" w:rsidRPr="002E3117" w:rsidRDefault="002E3117" w:rsidP="002E3117">
            <w:pPr>
              <w:jc w:val="right"/>
              <w:rPr>
                <w:sz w:val="21"/>
                <w:szCs w:val="21"/>
              </w:rPr>
            </w:pPr>
            <w:r w:rsidRPr="002E3117">
              <w:rPr>
                <w:sz w:val="21"/>
                <w:szCs w:val="21"/>
              </w:rPr>
              <w:t>48</w:t>
            </w:r>
          </w:p>
        </w:tc>
      </w:tr>
      <w:tr w:rsidR="002E3117" w14:paraId="3B7D6F65" w14:textId="77777777">
        <w:tc>
          <w:tcPr>
            <w:tcW w:w="21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C5AA397" w14:textId="54B78D7C" w:rsidR="002E3117" w:rsidRPr="002E3117" w:rsidRDefault="002E3117" w:rsidP="002E3117">
            <w:pPr>
              <w:rPr>
                <w:b/>
                <w:bCs/>
                <w:sz w:val="21"/>
                <w:szCs w:val="21"/>
              </w:rPr>
            </w:pPr>
            <w:r w:rsidRPr="002E3117">
              <w:rPr>
                <w:b/>
                <w:bCs/>
                <w:sz w:val="21"/>
                <w:szCs w:val="21"/>
              </w:rPr>
              <w:t>OVERALL</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5C42A2DB" w14:textId="5AF93791" w:rsidR="002E3117" w:rsidRPr="002E3117" w:rsidRDefault="002E3117" w:rsidP="002E3117">
            <w:pPr>
              <w:jc w:val="right"/>
              <w:rPr>
                <w:b/>
                <w:bCs/>
                <w:sz w:val="21"/>
                <w:szCs w:val="21"/>
              </w:rPr>
            </w:pPr>
            <w:r w:rsidRPr="002E3117">
              <w:rPr>
                <w:b/>
                <w:bCs/>
                <w:sz w:val="21"/>
                <w:szCs w:val="21"/>
              </w:rPr>
              <w:t>170</w:t>
            </w:r>
          </w:p>
        </w:tc>
        <w:tc>
          <w:tcPr>
            <w:tcW w:w="144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36EA4F2" w14:textId="0D290A0B" w:rsidR="002E3117" w:rsidRPr="002E3117" w:rsidRDefault="002E3117" w:rsidP="002E3117">
            <w:pPr>
              <w:jc w:val="right"/>
              <w:rPr>
                <w:b/>
                <w:bCs/>
                <w:sz w:val="21"/>
                <w:szCs w:val="21"/>
              </w:rPr>
            </w:pPr>
            <w:r w:rsidRPr="002E3117">
              <w:rPr>
                <w:b/>
                <w:bCs/>
                <w:sz w:val="21"/>
                <w:szCs w:val="21"/>
              </w:rPr>
              <w:t>+27</w:t>
            </w:r>
          </w:p>
        </w:tc>
        <w:tc>
          <w:tcPr>
            <w:tcW w:w="16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6BA9548" w14:textId="273A6D3C" w:rsidR="002E3117" w:rsidRPr="002E3117" w:rsidRDefault="002E3117" w:rsidP="002E3117">
            <w:pPr>
              <w:jc w:val="right"/>
              <w:rPr>
                <w:b/>
                <w:bCs/>
                <w:sz w:val="21"/>
                <w:szCs w:val="21"/>
              </w:rPr>
            </w:pPr>
            <w:r w:rsidRPr="002E3117">
              <w:rPr>
                <w:b/>
                <w:bCs/>
                <w:sz w:val="21"/>
                <w:szCs w:val="21"/>
              </w:rPr>
              <w:t>+16</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EFDBBED" w14:textId="712BFC55" w:rsidR="002E3117" w:rsidRPr="002E3117" w:rsidRDefault="002E3117" w:rsidP="002E3117">
            <w:pPr>
              <w:jc w:val="right"/>
              <w:rPr>
                <w:b/>
                <w:bCs/>
                <w:sz w:val="21"/>
                <w:szCs w:val="21"/>
              </w:rPr>
            </w:pPr>
            <w:r w:rsidRPr="002E3117">
              <w:rPr>
                <w:b/>
                <w:bCs/>
                <w:sz w:val="21"/>
                <w:szCs w:val="21"/>
              </w:rPr>
              <w:t>213</w:t>
            </w:r>
          </w:p>
        </w:tc>
        <w:tc>
          <w:tcPr>
            <w:tcW w:w="156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671F6BF4" w14:textId="1EF831C6" w:rsidR="002E3117" w:rsidRPr="002E3117" w:rsidRDefault="002E3117" w:rsidP="002E3117">
            <w:pPr>
              <w:jc w:val="right"/>
              <w:rPr>
                <w:b/>
                <w:bCs/>
                <w:sz w:val="21"/>
                <w:szCs w:val="21"/>
              </w:rPr>
            </w:pPr>
            <w:r w:rsidRPr="002E3117">
              <w:rPr>
                <w:b/>
                <w:bCs/>
                <w:sz w:val="21"/>
                <w:szCs w:val="21"/>
              </w:rPr>
              <w:t>221</w:t>
            </w:r>
          </w:p>
        </w:tc>
      </w:tr>
    </w:tbl>
    <w:p w14:paraId="28F779D4" w14:textId="77777777" w:rsidR="00672B57" w:rsidRDefault="00000000">
      <w:pPr>
        <w:spacing w:before="240" w:after="240"/>
        <w:jc w:val="center"/>
      </w:pPr>
      <w:r>
        <w:rPr>
          <w:color w:val="D4C9B6"/>
          <w:sz w:val="24"/>
          <w:szCs w:val="24"/>
        </w:rPr>
        <w:t>§   §   §</w:t>
      </w:r>
    </w:p>
    <w:p w14:paraId="1DC46BAB" w14:textId="77777777" w:rsidR="008900B6" w:rsidRDefault="008900B6" w:rsidP="008900B6">
      <w:pPr>
        <w:spacing w:before="60" w:after="120" w:line="300" w:lineRule="auto"/>
      </w:pPr>
      <w:r>
        <w:rPr>
          <w:color w:val="1A1614"/>
        </w:rPr>
        <w:t xml:space="preserve">Westlaw cites account for 58% of the lookup misses. All are federal district — most district court opinions don't appear in print reporters, so the WL cite is often the only citable form, and citation_lookup's resolution to a cluster depends on someone having put the WL cite in </w:t>
      </w:r>
      <w:r>
        <w:rPr>
          <w:rFonts w:ascii="Calibri" w:eastAsia="Calibri" w:hAnsi="Calibri" w:cs="Calibri"/>
          <w:color w:val="1A1614"/>
          <w:shd w:val="clear" w:color="auto" w:fill="EFE8DC"/>
        </w:rPr>
        <w:t>citations[]</w:t>
      </w:r>
      <w:r>
        <w:rPr>
          <w:color w:val="1A1614"/>
        </w:rPr>
        <w:t>.</w:t>
      </w:r>
    </w:p>
    <w:p w14:paraId="0A2507E4" w14:textId="1FF1A864" w:rsidR="00672B57" w:rsidRDefault="008900B6">
      <w:pPr>
        <w:pStyle w:val="Heading2"/>
      </w:pPr>
      <w:r>
        <w:t>Lookup misses broken down by citation type</w:t>
      </w:r>
    </w:p>
    <w:p w14:paraId="49AC7A3D" w14:textId="77777777" w:rsidR="00672B57" w:rsidRDefault="00000000">
      <w:pPr>
        <w:spacing w:before="100" w:after="100"/>
        <w:jc w:val="center"/>
      </w:pPr>
      <w:r>
        <w:rPr>
          <w:noProof/>
        </w:rPr>
        <w:drawing>
          <wp:inline distT="0" distB="0" distL="0" distR="0" wp14:anchorId="4C5752E0" wp14:editId="4D133C42">
            <wp:extent cx="6217920" cy="3693351"/>
            <wp:effectExtent l="0" t="0" r="0" b="0"/>
            <wp:docPr id="2046859941" name="Picture 2046859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17920" cy="3693351"/>
                    </a:xfrm>
                    <a:prstGeom prst="rect">
                      <a:avLst/>
                    </a:prstGeom>
                  </pic:spPr>
                </pic:pic>
              </a:graphicData>
            </a:graphic>
          </wp:inline>
        </w:drawing>
      </w:r>
    </w:p>
    <w:p w14:paraId="78DA49C7" w14:textId="596FDFC0" w:rsidR="00672B57" w:rsidRDefault="00000000">
      <w:pPr>
        <w:spacing w:after="240"/>
        <w:jc w:val="center"/>
      </w:pPr>
      <w:r>
        <w:rPr>
          <w:rFonts w:ascii="Calibri" w:eastAsia="Calibri" w:hAnsi="Calibri" w:cs="Calibri"/>
          <w:b/>
          <w:bCs/>
          <w:color w:val="8B2014"/>
          <w:sz w:val="18"/>
          <w:szCs w:val="18"/>
        </w:rPr>
        <w:t xml:space="preserve">Figure </w:t>
      </w:r>
      <w:r w:rsidR="001A5967">
        <w:rPr>
          <w:rFonts w:ascii="Calibri" w:eastAsia="Calibri" w:hAnsi="Calibri" w:cs="Calibri"/>
          <w:b/>
          <w:bCs/>
          <w:color w:val="8B2014"/>
          <w:sz w:val="18"/>
          <w:szCs w:val="18"/>
        </w:rPr>
        <w:t>3</w:t>
      </w:r>
      <w:r>
        <w:rPr>
          <w:rFonts w:ascii="Calibri" w:eastAsia="Calibri" w:hAnsi="Calibri" w:cs="Calibri"/>
          <w:b/>
          <w:bCs/>
          <w:color w:val="8B2014"/>
          <w:sz w:val="18"/>
          <w:szCs w:val="18"/>
        </w:rPr>
        <w:t xml:space="preserve">.  </w:t>
      </w:r>
      <w:r>
        <w:rPr>
          <w:b/>
          <w:bCs/>
          <w:color w:val="1A1614"/>
          <w:sz w:val="20"/>
          <w:szCs w:val="20"/>
        </w:rPr>
        <w:t>Reporter type within the 43 lookup misses, split by court tier.</w:t>
      </w:r>
      <w:r>
        <w:rPr>
          <w:i/>
          <w:iCs/>
          <w:color w:val="3D342E"/>
          <w:sz w:val="20"/>
          <w:szCs w:val="20"/>
        </w:rPr>
        <w:t xml:space="preserve">  Westlaw cites account for 58% of the misses; all are federal district. NY A.D.3d and Tex S.W.3d are the next clusters.</w:t>
      </w:r>
    </w:p>
    <w:p w14:paraId="70E9D316" w14:textId="77777777" w:rsidR="008900B6" w:rsidRDefault="00000000" w:rsidP="008900B6">
      <w:pPr>
        <w:spacing w:before="240" w:after="240"/>
        <w:jc w:val="center"/>
        <w:rPr>
          <w:color w:val="D4C9B6"/>
          <w:sz w:val="24"/>
          <w:szCs w:val="24"/>
        </w:rPr>
      </w:pPr>
      <w:r>
        <w:rPr>
          <w:color w:val="D4C9B6"/>
          <w:sz w:val="24"/>
          <w:szCs w:val="24"/>
        </w:rPr>
        <w:t>§   §   §</w:t>
      </w:r>
      <w:r w:rsidR="008900B6">
        <w:rPr>
          <w:color w:val="D4C9B6"/>
          <w:sz w:val="24"/>
          <w:szCs w:val="24"/>
        </w:rPr>
        <w:t xml:space="preserve"> </w:t>
      </w:r>
    </w:p>
    <w:p w14:paraId="13635059" w14:textId="37A44059" w:rsidR="008900B6" w:rsidRPr="008900B6" w:rsidRDefault="002A094B" w:rsidP="008900B6">
      <w:pPr>
        <w:spacing w:before="60" w:after="120" w:line="300" w:lineRule="auto"/>
        <w:rPr>
          <w:color w:val="1A1614"/>
        </w:rPr>
      </w:pPr>
      <w:r w:rsidRPr="002A094B">
        <w:rPr>
          <w:color w:val="1A1614"/>
        </w:rPr>
        <w:t>Eight citations could not be located in CourtListener. Four are genuine structural coverage gaps: three are Westlaw/Lexis-only district court orders that exist only as RECAP docket entries, not as searchable opinion clusters (</w:t>
      </w:r>
      <w:r w:rsidRPr="002A094B">
        <w:rPr>
          <w:i/>
          <w:iCs/>
          <w:color w:val="1A1614"/>
        </w:rPr>
        <w:t>Rose Way</w:t>
      </w:r>
      <w:r w:rsidRPr="002A094B">
        <w:rPr>
          <w:color w:val="1A1614"/>
        </w:rPr>
        <w:t xml:space="preserve">, </w:t>
      </w:r>
      <w:r w:rsidRPr="002A094B">
        <w:rPr>
          <w:i/>
          <w:iCs/>
          <w:color w:val="1A1614"/>
        </w:rPr>
        <w:t>Wilson</w:t>
      </w:r>
      <w:r w:rsidRPr="002A094B">
        <w:rPr>
          <w:color w:val="1A1614"/>
        </w:rPr>
        <w:t xml:space="preserve">, </w:t>
      </w:r>
      <w:r w:rsidRPr="002A094B">
        <w:rPr>
          <w:i/>
          <w:iCs/>
          <w:color w:val="1A1614"/>
        </w:rPr>
        <w:t>Wilmington Trust</w:t>
      </w:r>
      <w:r w:rsidRPr="002A094B">
        <w:rPr>
          <w:color w:val="1A1614"/>
        </w:rPr>
        <w:t xml:space="preserve">), and one reflects </w:t>
      </w:r>
      <w:r w:rsidR="002E3117">
        <w:rPr>
          <w:color w:val="1A1614"/>
        </w:rPr>
        <w:t>a</w:t>
      </w:r>
      <w:r w:rsidRPr="002A094B">
        <w:rPr>
          <w:color w:val="1A1614"/>
        </w:rPr>
        <w:t xml:space="preserve"> Fla. 3d DCA scraper coverage gap (</w:t>
      </w:r>
      <w:r w:rsidRPr="002A094B">
        <w:rPr>
          <w:i/>
          <w:iCs/>
          <w:color w:val="1A1614"/>
        </w:rPr>
        <w:t>Iglesias</w:t>
      </w:r>
      <w:r w:rsidRPr="002A094B">
        <w:rPr>
          <w:color w:val="1A1614"/>
        </w:rPr>
        <w:t xml:space="preserve">). Two are one-off scraper misses on opinions that the scraper should have caught and didn't — </w:t>
      </w:r>
      <w:r w:rsidRPr="002A094B">
        <w:rPr>
          <w:i/>
          <w:iCs/>
          <w:color w:val="1A1614"/>
        </w:rPr>
        <w:t>Terry Black's</w:t>
      </w:r>
      <w:r w:rsidRPr="002A094B">
        <w:rPr>
          <w:color w:val="1A1614"/>
        </w:rPr>
        <w:t xml:space="preserve"> (5th Cir., Jan. 5, 2022; every neighboring F.4th page from that week is in CL) and </w:t>
      </w:r>
      <w:r w:rsidRPr="002A094B">
        <w:rPr>
          <w:i/>
          <w:iCs/>
          <w:color w:val="1A1614"/>
        </w:rPr>
        <w:t>People v. Campbell</w:t>
      </w:r>
      <w:r w:rsidRPr="002A094B">
        <w:rPr>
          <w:color w:val="1A1614"/>
        </w:rPr>
        <w:t xml:space="preserve"> (4th Dep't, Nov. 21, 2025; 70 sibling 4th Dep't opinions from the same day, same nycourts.gov URL pattern, were captured but Slip Op 06407 wasn't). Both are worth flagging for backfill. One is an Illinois App. Rule 23 unpublished order served from a non-standard URL pattern outside the scraper's reach, compounded by a docket-number typo in the cite (</w:t>
      </w:r>
      <w:r w:rsidRPr="002A094B">
        <w:rPr>
          <w:i/>
          <w:iCs/>
          <w:color w:val="1A1614"/>
        </w:rPr>
        <w:t>Thurman</w:t>
      </w:r>
      <w:r w:rsidRPr="002A094B">
        <w:rPr>
          <w:color w:val="1A1614"/>
        </w:rPr>
        <w:t>). And one is a N.Y. Court of Appeals motion-for-leave denial published as a row in a Decision List table rather than as a substantive opinion document (</w:t>
      </w:r>
      <w:r w:rsidRPr="002A094B">
        <w:rPr>
          <w:i/>
          <w:iCs/>
          <w:color w:val="1A1614"/>
        </w:rPr>
        <w:t>Azad</w:t>
      </w:r>
      <w:r w:rsidRPr="002A094B">
        <w:rPr>
          <w:color w:val="1A1614"/>
        </w:rPr>
        <w:t>) — structural but unfixable, since CourtListener's ingestion model doesn't cover tabular dispositions.</w:t>
      </w:r>
    </w:p>
    <w:p w14:paraId="4DCCFD80" w14:textId="74629C25" w:rsidR="00672B57" w:rsidRDefault="00000000">
      <w:pPr>
        <w:pStyle w:val="Heading1"/>
        <w:pBdr>
          <w:bottom w:val="single" w:sz="8" w:space="4" w:color="D4C9B6"/>
        </w:pBdr>
      </w:pPr>
      <w:r>
        <w:t>Potential mitigation</w:t>
      </w:r>
      <w:r w:rsidR="0019744B">
        <w:t xml:space="preserve"> of lookup misses</w:t>
      </w:r>
    </w:p>
    <w:p w14:paraId="4C25ED4B" w14:textId="2B6D7DFF" w:rsidR="00672B57" w:rsidRDefault="00000000">
      <w:pPr>
        <w:pStyle w:val="ListParagraph"/>
        <w:numPr>
          <w:ilvl w:val="0"/>
          <w:numId w:val="3"/>
        </w:numPr>
        <w:spacing w:before="120" w:after="160" w:line="300" w:lineRule="auto"/>
      </w:pPr>
      <w:r>
        <w:rPr>
          <w:b/>
          <w:bCs/>
          <w:color w:val="1A1614"/>
        </w:rPr>
        <w:t xml:space="preserve">The scanning project addresses the print-reporter cluster-empty cases (17 of 43). </w:t>
      </w:r>
      <w:r w:rsidR="002A094B" w:rsidRPr="002A094B">
        <w:rPr>
          <w:color w:val="1A1614"/>
        </w:rPr>
        <w:t>Already in motion. Will populate citations[] for the 12 cluster-empty print-reporter cases (6 Cal. state appellate, 2 Tex. Supreme Court S.W.3d, 2 F. Supp. 3d, 1 F.4th, 1 So. 3d) plus add the parallel A.D.3d cite to the 5 NY Appellate Division clusters that currently have only the slip-op cite indexed.</w:t>
      </w:r>
    </w:p>
    <w:p w14:paraId="660D2F42" w14:textId="19224844" w:rsidR="00672B57" w:rsidRDefault="002A094B">
      <w:pPr>
        <w:pStyle w:val="ListParagraph"/>
        <w:numPr>
          <w:ilvl w:val="0"/>
          <w:numId w:val="3"/>
        </w:numPr>
        <w:spacing w:before="120" w:after="160" w:line="300" w:lineRule="auto"/>
      </w:pPr>
      <w:r w:rsidRPr="002A094B">
        <w:rPr>
          <w:b/>
          <w:bCs/>
          <w:color w:val="1A1614"/>
        </w:rPr>
        <w:t>Back-fill clusters from free RECAP docs (~7 of 43, plus an unknown larger backlog). </w:t>
      </w:r>
      <w:r w:rsidRPr="002A094B">
        <w:rPr>
          <w:color w:val="1A1614"/>
        </w:rPr>
        <w:t>A periodic sweep of recap_documents with is_free_on_pacer=true, is_available=true, opinion-typed entry description, and no associated cluster would catch both old docs uploaded after the live scrape window had completed (e.g., </w:t>
      </w:r>
      <w:r w:rsidRPr="002A094B">
        <w:rPr>
          <w:i/>
          <w:iCs/>
          <w:color w:val="1A1614"/>
        </w:rPr>
        <w:t>Mehar Holdings v. Evanston Ins. Co.</w:t>
      </w:r>
      <w:r w:rsidRPr="002A094B">
        <w:rPr>
          <w:color w:val="1A1614"/>
        </w:rPr>
        <w:t>, </w:t>
      </w:r>
      <w:hyperlink r:id="rId10" w:tgtFrame="_blank" w:history="1">
        <w:r w:rsidRPr="002A094B">
          <w:rPr>
            <w:rStyle w:val="Hyperlink"/>
          </w:rPr>
          <w:t>docket 5474769</w:t>
        </w:r>
      </w:hyperlink>
      <w:r w:rsidRPr="002A094B">
        <w:rPr>
          <w:color w:val="1A1614"/>
        </w:rPr>
        <w:t> — a 12-page Memorandum &amp; Order on CL since 2017-04-23 but never promoted to a cluster) and new docs where the live scraper for the relevant court is lagging. Pairs with the </w:t>
      </w:r>
      <w:hyperlink r:id="rId11" w:tgtFrame="_blank" w:history="1">
        <w:r w:rsidRPr="002A094B">
          <w:rPr>
            <w:rStyle w:val="Hyperlink"/>
          </w:rPr>
          <w:t>#7316</w:t>
        </w:r>
      </w:hyperlink>
      <w:r w:rsidRPr="002A094B">
        <w:rPr>
          <w:color w:val="1A1614"/>
        </w:rPr>
        <w:t> scraper-stall fix.</w:t>
      </w:r>
      <w:r>
        <w:rPr>
          <w:b/>
          <w:bCs/>
          <w:color w:val="1A1614"/>
        </w:rPr>
        <w:t xml:space="preserve"> </w:t>
      </w:r>
    </w:p>
    <w:p w14:paraId="22DAEF17" w14:textId="77777777" w:rsidR="00672B57" w:rsidRDefault="00000000">
      <w:pPr>
        <w:pStyle w:val="ListParagraph"/>
        <w:numPr>
          <w:ilvl w:val="0"/>
          <w:numId w:val="3"/>
        </w:numPr>
        <w:spacing w:before="120" w:after="160" w:line="300" w:lineRule="auto"/>
      </w:pPr>
      <w:r>
        <w:rPr>
          <w:b/>
          <w:bCs/>
          <w:color w:val="1A1614"/>
        </w:rPr>
        <w:t xml:space="preserve">Fix the per-court scraper stall/lag pattern surfaced in </w:t>
      </w:r>
      <w:hyperlink r:id="rId12" w:history="1">
        <w:r w:rsidR="00672B57">
          <w:rPr>
            <w:b/>
            <w:bCs/>
            <w:color w:val="8B2014"/>
            <w:u w:val="single"/>
          </w:rPr>
          <w:t>#7316</w:t>
        </w:r>
      </w:hyperlink>
      <w:r>
        <w:rPr>
          <w:b/>
          <w:bCs/>
          <w:color w:val="1A1614"/>
        </w:rPr>
        <w:t xml:space="preserve">. </w:t>
      </w:r>
      <w:r>
        <w:rPr>
          <w:color w:val="1A1614"/>
        </w:rPr>
        <w:t xml:space="preserve">Three of the seven </w:t>
      </w:r>
      <w:r>
        <w:rPr>
          <w:rFonts w:ascii="Calibri" w:eastAsia="Calibri" w:hAnsi="Calibri" w:cs="Calibri"/>
          <w:color w:val="1A1614"/>
          <w:shd w:val="clear" w:color="auto" w:fill="EFE8DC"/>
        </w:rPr>
        <w:t>in_recap</w:t>
      </w:r>
      <w:r>
        <w:rPr>
          <w:color w:val="1A1614"/>
        </w:rPr>
        <w:t xml:space="preserve"> cases were docs created on CL in 2017 but underlying opinions filed years earlier — these wouldn't be caught by a live-scraper fix alone. Recommendation 2 above and the #7316 fix together would catch both the historical and the ongoing gap.</w:t>
      </w:r>
    </w:p>
    <w:p w14:paraId="4412FF5A" w14:textId="5B8D1DBE" w:rsidR="00672B57" w:rsidRDefault="00000000">
      <w:pPr>
        <w:pStyle w:val="ListParagraph"/>
        <w:numPr>
          <w:ilvl w:val="0"/>
          <w:numId w:val="3"/>
        </w:numPr>
        <w:spacing w:before="120" w:after="160" w:line="300" w:lineRule="auto"/>
      </w:pPr>
      <w:r>
        <w:rPr>
          <w:b/>
          <w:bCs/>
          <w:color w:val="1A1614"/>
        </w:rPr>
        <w:t>Mine RECAP for WL → cluster mappings</w:t>
      </w:r>
      <w:r w:rsidR="002A094B">
        <w:rPr>
          <w:b/>
          <w:bCs/>
          <w:color w:val="1A1614"/>
        </w:rPr>
        <w:t xml:space="preserve"> </w:t>
      </w:r>
      <w:r w:rsidR="002A094B" w:rsidRPr="002A094B">
        <w:rPr>
          <w:b/>
          <w:bCs/>
          <w:color w:val="1A1614"/>
        </w:rPr>
        <w:t>(~25 of 43, the largest single bucket)</w:t>
      </w:r>
      <w:r>
        <w:rPr>
          <w:b/>
          <w:bCs/>
          <w:color w:val="1A1614"/>
        </w:rPr>
        <w:t xml:space="preserve">. </w:t>
      </w:r>
      <w:r w:rsidR="002A094B" w:rsidRPr="002A094B">
        <w:rPr>
          <w:color w:val="1A1614"/>
        </w:rPr>
        <w:t>The scanning project doesn't touch Westlaw cites; CL's RECAP archive does. Millions of briefs/motions in RECAP cite cases by both their WL number and case name (often with docket and court). A one-time batch pass — essentially running citation-verifier's name+date+court logic over a large brief corpus — would seed citations[] for thousands of clusters that currently have empty arrays. Bootstraps from data CL already owns. Even cites with caption divergence (Rule 25(d), SSA pseudonyms) are seedable because briefs pair them with the WL number — </w:t>
      </w:r>
      <w:r w:rsidR="002A094B" w:rsidRPr="002A094B">
        <w:rPr>
          <w:i/>
          <w:iCs/>
          <w:color w:val="1A1614"/>
        </w:rPr>
        <w:t>Gilliard v. McWilliams</w:t>
      </w:r>
      <w:r w:rsidR="002A094B" w:rsidRPr="002A094B">
        <w:rPr>
          <w:color w:val="1A1614"/>
        </w:rPr>
        <w:t>, 2019 WL 3304707 is one of 5 such cases in our sample</w:t>
      </w:r>
      <w:r>
        <w:rPr>
          <w:color w:val="1A1614"/>
        </w:rPr>
        <w:t>.</w:t>
      </w:r>
    </w:p>
    <w:p w14:paraId="27DAE9CD" w14:textId="77777777" w:rsidR="00672B57" w:rsidRDefault="00000000">
      <w:pPr>
        <w:pStyle w:val="ListParagraph"/>
        <w:numPr>
          <w:ilvl w:val="0"/>
          <w:numId w:val="3"/>
        </w:numPr>
        <w:spacing w:before="120" w:after="160" w:line="300" w:lineRule="auto"/>
      </w:pPr>
      <w:r>
        <w:rPr>
          <w:b/>
          <w:bCs/>
          <w:color w:val="1A1614"/>
        </w:rPr>
        <w:t xml:space="preserve">Push a neutral citation system. </w:t>
      </w:r>
      <w:r>
        <w:rPr>
          <w:color w:val="1A1614"/>
        </w:rPr>
        <w:t>A long-term play: adopt and advocate for a Free Law–style neutral citation format (year, court, sequence number) that doesn't depend on either Westlaw or print reporters. Even partial adoption by federal districts would reduce the WL dependency that drives most of the misses in this sample.</w:t>
      </w:r>
    </w:p>
    <w:p w14:paraId="1448299A" w14:textId="77777777" w:rsidR="00672B57" w:rsidRDefault="00000000">
      <w:pPr>
        <w:pStyle w:val="ListParagraph"/>
        <w:numPr>
          <w:ilvl w:val="0"/>
          <w:numId w:val="3"/>
        </w:numPr>
        <w:spacing w:before="120" w:after="160" w:line="300" w:lineRule="auto"/>
      </w:pPr>
      <w:r>
        <w:rPr>
          <w:b/>
          <w:bCs/>
          <w:color w:val="1A1614"/>
        </w:rPr>
        <w:t xml:space="preserve">"Did you mean?" on </w:t>
      </w:r>
      <w:r>
        <w:rPr>
          <w:rFonts w:ascii="Calibri" w:eastAsia="Calibri" w:hAnsi="Calibri" w:cs="Calibri"/>
          <w:b/>
          <w:bCs/>
          <w:color w:val="1A1614"/>
          <w:shd w:val="clear" w:color="auto" w:fill="EFE8DC"/>
        </w:rPr>
        <w:t>/citation-lookup/</w:t>
      </w:r>
      <w:r>
        <w:rPr>
          <w:b/>
          <w:bCs/>
          <w:color w:val="1A1614"/>
        </w:rPr>
        <w:t xml:space="preserve"> 404s. </w:t>
      </w:r>
      <w:r>
        <w:rPr>
          <w:color w:val="1A1614"/>
        </w:rPr>
        <w:t xml:space="preserve">Instead of just returning 404, the endpoint could return </w:t>
      </w:r>
      <w:r>
        <w:rPr>
          <w:rFonts w:ascii="Calibri" w:eastAsia="Calibri" w:hAnsi="Calibri" w:cs="Calibri"/>
          <w:color w:val="1A1614"/>
          <w:shd w:val="clear" w:color="auto" w:fill="EFE8DC"/>
        </w:rPr>
        <w:t>{status: 404, suggestions: [clusters with matching name+year+court]}</w:t>
      </w:r>
      <w:r>
        <w:rPr>
          <w:color w:val="1A1614"/>
        </w:rPr>
        <w:t>. Lets API consumers (like citation-verifier or LLM agents calling CL) know "there's nothing here under this cite, but here are likely candidates." Cheap server-side change; clients still decide what to do.</w:t>
      </w:r>
    </w:p>
    <w:p w14:paraId="2F70C167" w14:textId="77777777" w:rsidR="00672B57" w:rsidRDefault="00000000">
      <w:pPr>
        <w:pStyle w:val="ListParagraph"/>
        <w:numPr>
          <w:ilvl w:val="0"/>
          <w:numId w:val="3"/>
        </w:numPr>
        <w:spacing w:before="120" w:after="160" w:line="300" w:lineRule="auto"/>
      </w:pPr>
      <w:r>
        <w:rPr>
          <w:b/>
          <w:bCs/>
          <w:color w:val="1A1614"/>
        </w:rPr>
        <w:t xml:space="preserve">Federated cite registry with other free-law projects. </w:t>
      </w:r>
      <w:r>
        <w:rPr>
          <w:color w:val="1A1614"/>
        </w:rPr>
        <w:t>vLex / Fastcase / CourtListener could share a common cite → permalink registry. Likely a longer arc but addresses the same underlying issue from a different angle.</w:t>
      </w:r>
    </w:p>
    <w:p w14:paraId="13B858B3" w14:textId="77777777" w:rsidR="00672B57" w:rsidRDefault="00000000">
      <w:pPr>
        <w:spacing w:before="240" w:after="240"/>
        <w:jc w:val="center"/>
      </w:pPr>
      <w:r>
        <w:rPr>
          <w:color w:val="D4C9B6"/>
          <w:sz w:val="24"/>
          <w:szCs w:val="24"/>
        </w:rPr>
        <w:t>§   §   §</w:t>
      </w:r>
    </w:p>
    <w:p w14:paraId="222F7B0F" w14:textId="77777777" w:rsidR="00672B57" w:rsidRDefault="00000000">
      <w:pPr>
        <w:pStyle w:val="Heading1"/>
        <w:pBdr>
          <w:bottom w:val="single" w:sz="8" w:space="4" w:color="D4C9B6"/>
        </w:pBdr>
      </w:pPr>
      <w:r>
        <w:t>Methodology</w:t>
      </w:r>
    </w:p>
    <w:p w14:paraId="1290B27D" w14:textId="77777777" w:rsidR="00672B57" w:rsidRDefault="00000000">
      <w:pPr>
        <w:spacing w:before="60" w:after="120" w:line="300" w:lineRule="auto"/>
      </w:pPr>
      <w:r>
        <w:rPr>
          <w:b/>
          <w:bCs/>
          <w:color w:val="1A1614"/>
        </w:rPr>
        <w:t xml:space="preserve">Corpus. </w:t>
      </w:r>
      <w:r>
        <w:rPr>
          <w:color w:val="1A1614"/>
        </w:rPr>
        <w:t xml:space="preserve">78 citing opinions, predominantly 2023–2026, mined from CL across a mix of federal (60) and state (18) courts via the benchmark's </w:t>
      </w:r>
      <w:r>
        <w:rPr>
          <w:rFonts w:ascii="Calibri" w:eastAsia="Calibri" w:hAnsi="Calibri" w:cs="Calibri"/>
          <w:color w:val="1A1614"/>
          <w:shd w:val="clear" w:color="auto" w:fill="EFE8DC"/>
        </w:rPr>
        <w:t>mine_citing_opinions</w:t>
      </w:r>
      <w:r>
        <w:rPr>
          <w:color w:val="1A1614"/>
        </w:rPr>
        <w:t xml:space="preserve"> step.</w:t>
      </w:r>
    </w:p>
    <w:p w14:paraId="541C1630" w14:textId="10DF4BAF" w:rsidR="00672B57" w:rsidRDefault="00000000">
      <w:pPr>
        <w:spacing w:before="60" w:after="120" w:line="300" w:lineRule="auto"/>
      </w:pPr>
      <w:r>
        <w:rPr>
          <w:b/>
          <w:bCs/>
          <w:color w:val="1A1614"/>
        </w:rPr>
        <w:t xml:space="preserve">Extraction. </w:t>
      </w:r>
      <w:r>
        <w:rPr>
          <w:color w:val="1A1614"/>
        </w:rPr>
        <w:t>Per-opinion JSON via the Anthropic Haiku model (</w:t>
      </w:r>
      <w:r>
        <w:rPr>
          <w:rFonts w:ascii="Calibri" w:eastAsia="Calibri" w:hAnsi="Calibri" w:cs="Calibri"/>
          <w:color w:val="1A1614"/>
          <w:shd w:val="clear" w:color="auto" w:fill="EFE8DC"/>
        </w:rPr>
        <w:t>extract_citations.py</w:t>
      </w:r>
      <w:r>
        <w:rPr>
          <w:color w:val="1A1614"/>
        </w:rPr>
        <w:t>). LLM extraction rather than eyecite</w:t>
      </w:r>
      <w:r w:rsidR="000416B4">
        <w:rPr>
          <w:color w:val="1A1614"/>
        </w:rPr>
        <w:t>, which does not extract case names and parentheticals from PDFs as neatly as is needed for citation-verifier.</w:t>
      </w:r>
      <w:r>
        <w:rPr>
          <w:color w:val="1A1614"/>
        </w:rPr>
        <w:t xml:space="preserve"> Incomplete or extraction-artifact citations (~13.5% of raw LLM output) are excluded by using </w:t>
      </w:r>
      <w:r>
        <w:rPr>
          <w:rFonts w:ascii="Calibri" w:eastAsia="Calibri" w:hAnsi="Calibri" w:cs="Calibri"/>
          <w:color w:val="1A1614"/>
          <w:shd w:val="clear" w:color="auto" w:fill="EFE8DC"/>
        </w:rPr>
        <w:t>citations_valid</w:t>
      </w:r>
      <w:r>
        <w:rPr>
          <w:color w:val="1A1614"/>
        </w:rPr>
        <w:t xml:space="preserve"> only.</w:t>
      </w:r>
    </w:p>
    <w:p w14:paraId="548C12CB" w14:textId="77777777" w:rsidR="00672B57" w:rsidRDefault="00000000">
      <w:pPr>
        <w:spacing w:before="60" w:after="120" w:line="300" w:lineRule="auto"/>
      </w:pPr>
      <w:r>
        <w:rPr>
          <w:b/>
          <w:bCs/>
          <w:color w:val="1A1614"/>
        </w:rPr>
        <w:t xml:space="preserve">Pre-filter &amp; dedup. </w:t>
      </w:r>
      <w:r>
        <w:rPr>
          <w:color w:val="1A1614"/>
        </w:rPr>
        <w:t>Drop short-form citations (</w:t>
      </w:r>
      <w:r>
        <w:rPr>
          <w:rFonts w:ascii="Calibri" w:eastAsia="Calibri" w:hAnsi="Calibri" w:cs="Calibri"/>
          <w:color w:val="1A1614"/>
          <w:shd w:val="clear" w:color="auto" w:fill="EFE8DC"/>
        </w:rPr>
        <w:t>Id.</w:t>
      </w:r>
      <w:r>
        <w:rPr>
          <w:color w:val="1A1614"/>
        </w:rPr>
        <w:t>, bare pin cites) and foreign reporters (</w:t>
      </w:r>
      <w:r>
        <w:rPr>
          <w:rFonts w:ascii="Calibri" w:eastAsia="Calibri" w:hAnsi="Calibri" w:cs="Calibri"/>
          <w:color w:val="1A1614"/>
          <w:shd w:val="clear" w:color="auto" w:fill="EFE8DC"/>
        </w:rPr>
        <w:t>Eng. Rep.</w:t>
      </w:r>
      <w:r>
        <w:rPr>
          <w:color w:val="1A1614"/>
        </w:rPr>
        <w:t xml:space="preserve">, </w:t>
      </w:r>
      <w:r>
        <w:rPr>
          <w:rFonts w:ascii="Calibri" w:eastAsia="Calibri" w:hAnsi="Calibri" w:cs="Calibri"/>
          <w:color w:val="1A1614"/>
          <w:shd w:val="clear" w:color="auto" w:fill="EFE8DC"/>
        </w:rPr>
        <w:t>Q.B.</w:t>
      </w:r>
      <w:r>
        <w:rPr>
          <w:color w:val="1A1614"/>
        </w:rPr>
        <w:t xml:space="preserve">, etc.); dedup on </w:t>
      </w:r>
      <w:r>
        <w:rPr>
          <w:rFonts w:ascii="Calibri" w:eastAsia="Calibri" w:hAnsi="Calibri" w:cs="Calibri"/>
          <w:color w:val="1A1614"/>
          <w:shd w:val="clear" w:color="auto" w:fill="EFE8DC"/>
        </w:rPr>
        <w:t>(citing_cluster, citation_string, parenthetical)</w:t>
      </w:r>
      <w:r>
        <w:rPr>
          <w:color w:val="1A1614"/>
        </w:rPr>
        <w:t xml:space="preserve">; K=5 cap per </w:t>
      </w:r>
      <w:r>
        <w:rPr>
          <w:rFonts w:ascii="Calibri" w:eastAsia="Calibri" w:hAnsi="Calibri" w:cs="Calibri"/>
          <w:color w:val="1A1614"/>
          <w:shd w:val="clear" w:color="auto" w:fill="EFE8DC"/>
        </w:rPr>
        <w:t>(citing_cluster, cited_tier)</w:t>
      </w:r>
      <w:r>
        <w:rPr>
          <w:color w:val="1A1614"/>
        </w:rPr>
        <w:t xml:space="preserve"> for opinion-level diversity.</w:t>
      </w:r>
    </w:p>
    <w:p w14:paraId="1CB9CA0B" w14:textId="77777777" w:rsidR="00672B57" w:rsidRDefault="00000000">
      <w:pPr>
        <w:spacing w:before="60" w:after="120" w:line="300" w:lineRule="auto"/>
        <w:rPr>
          <w:color w:val="1A1614"/>
        </w:rPr>
      </w:pPr>
      <w:r>
        <w:rPr>
          <w:b/>
          <w:bCs/>
          <w:color w:val="1A1614"/>
        </w:rPr>
        <w:t xml:space="preserve">Stratified sample. </w:t>
      </w:r>
      <w:r>
        <w:rPr>
          <w:color w:val="1A1614"/>
        </w:rPr>
        <w:t>50 cited citations per tier across SCOTUS, Circuit, State_COLR, State_IAC, and Federal_District (250 total).</w:t>
      </w:r>
    </w:p>
    <w:p w14:paraId="3909A8E7" w14:textId="4B759ED7" w:rsidR="00CE77F7" w:rsidRPr="00CE77F7" w:rsidRDefault="00CE77F7">
      <w:pPr>
        <w:spacing w:before="60" w:after="120" w:line="300" w:lineRule="auto"/>
        <w:rPr>
          <w:b/>
          <w:bCs/>
        </w:rPr>
      </w:pPr>
      <w:r>
        <w:rPr>
          <w:b/>
          <w:bCs/>
          <w:color w:val="1A1614"/>
        </w:rPr>
        <w:t xml:space="preserve">Verification pipeline. </w:t>
      </w:r>
      <w:r w:rsidRPr="00CE77F7">
        <w:rPr>
          <w:color w:val="1A1614"/>
        </w:rPr>
        <w:t>Each cite runs through </w:t>
      </w:r>
      <w:r w:rsidRPr="00CE77F7">
        <w:rPr>
          <w:rFonts w:ascii="Calibri" w:eastAsia="Calibri" w:hAnsi="Calibri" w:cs="Calibri"/>
          <w:color w:val="1A1614"/>
          <w:shd w:val="clear" w:color="auto" w:fill="EFE8DC"/>
        </w:rPr>
        <w:t>/citation-lookup/</w:t>
      </w:r>
      <w:r w:rsidRPr="00CE77F7">
        <w:rPr>
          <w:color w:val="1A1614"/>
        </w:rPr>
        <w:t>, then a citation-verifier name+date+court fallback for misses, then an audit on rescues, then a short-form-citation dedup pass that drops pin-cites whose fuller sibling exists in the same opinion.</w:t>
      </w:r>
    </w:p>
    <w:p w14:paraId="41486EAD" w14:textId="08D51EB3" w:rsidR="00672B57" w:rsidRDefault="00000000">
      <w:pPr>
        <w:spacing w:before="60" w:after="120" w:line="300" w:lineRule="auto"/>
      </w:pPr>
      <w:r>
        <w:rPr>
          <w:b/>
          <w:bCs/>
          <w:color w:val="1A1614"/>
        </w:rPr>
        <w:t xml:space="preserve">Manual investigation. </w:t>
      </w:r>
      <w:r>
        <w:rPr>
          <w:color w:val="1A1614"/>
        </w:rPr>
        <w:t>Two passes by hand</w:t>
      </w:r>
      <w:r w:rsidR="002A094B">
        <w:rPr>
          <w:color w:val="1A1614"/>
        </w:rPr>
        <w:t xml:space="preserve">, both recorded </w:t>
      </w:r>
      <w:r>
        <w:rPr>
          <w:color w:val="1A1614"/>
        </w:rPr>
        <w:t xml:space="preserve">in </w:t>
      </w:r>
      <w:r>
        <w:rPr>
          <w:rFonts w:ascii="Calibri" w:eastAsia="Calibri" w:hAnsi="Calibri" w:cs="Calibri"/>
          <w:color w:val="1A1614"/>
          <w:shd w:val="clear" w:color="auto" w:fill="EFE8DC"/>
        </w:rPr>
        <w:t>manual_corrections.csv</w:t>
      </w:r>
      <w:r>
        <w:rPr>
          <w:color w:val="1A1614"/>
        </w:rPr>
        <w:t xml:space="preserve">. </w:t>
      </w:r>
    </w:p>
    <w:p w14:paraId="12CACBAD" w14:textId="77777777" w:rsidR="00672B57" w:rsidRDefault="00000000">
      <w:pPr>
        <w:spacing w:before="60" w:after="120" w:line="300" w:lineRule="auto"/>
      </w:pPr>
      <w:r>
        <w:rPr>
          <w:color w:val="1A1614"/>
        </w:rPr>
        <w:t xml:space="preserve">The pipeline is reproducible end-to-end from the scripts in </w:t>
      </w:r>
      <w:r>
        <w:rPr>
          <w:rFonts w:ascii="Calibri" w:eastAsia="Calibri" w:hAnsi="Calibri" w:cs="Calibri"/>
          <w:color w:val="1A1614"/>
          <w:shd w:val="clear" w:color="auto" w:fill="EFE8DC"/>
        </w:rPr>
        <w:t>benchmark/scratch/cl-coverage-offshoot/</w:t>
      </w:r>
      <w:r>
        <w:rPr>
          <w:color w:val="1A1614"/>
        </w:rPr>
        <w:t xml:space="preserve"> against an unchanged CourtListener corpus.</w:t>
      </w:r>
    </w:p>
    <w:p w14:paraId="08F463BF" w14:textId="77777777" w:rsidR="00672B57" w:rsidRDefault="00000000">
      <w:pPr>
        <w:spacing w:before="240" w:after="240"/>
        <w:jc w:val="center"/>
      </w:pPr>
      <w:r>
        <w:rPr>
          <w:color w:val="D4C9B6"/>
          <w:sz w:val="24"/>
          <w:szCs w:val="24"/>
        </w:rPr>
        <w:t>§   §   §</w:t>
      </w:r>
    </w:p>
    <w:p w14:paraId="22A35D32" w14:textId="77777777" w:rsidR="00672B57" w:rsidRDefault="00000000">
      <w:pPr>
        <w:pStyle w:val="Heading1"/>
        <w:pBdr>
          <w:bottom w:val="single" w:sz="8" w:space="4" w:color="D4C9B6"/>
        </w:pBdr>
      </w:pPr>
      <w:r>
        <w:t>Caveats and limitations</w:t>
      </w:r>
    </w:p>
    <w:p w14:paraId="703B1397" w14:textId="77777777" w:rsidR="00672B57" w:rsidRDefault="00000000">
      <w:pPr>
        <w:spacing w:before="60" w:after="120" w:line="300" w:lineRule="auto"/>
      </w:pPr>
      <w:r>
        <w:rPr>
          <w:b/>
          <w:bCs/>
          <w:color w:val="1A1614"/>
        </w:rPr>
        <w:t xml:space="preserve">Sample size. </w:t>
      </w:r>
      <w:r>
        <w:rPr>
          <w:color w:val="1A1614"/>
        </w:rPr>
        <w:t>250 rows across five tiers; per-tier sample sizes range 38–48 after Phase 6 exclusions. Confidence intervals on the individual tier coverage numbers are wide. The overall 96.4% should be read as a point estimate with ~±2 pp of slop.</w:t>
      </w:r>
    </w:p>
    <w:p w14:paraId="511CF8D2" w14:textId="77777777" w:rsidR="002E3117" w:rsidRDefault="002E3117" w:rsidP="002E3117">
      <w:pPr>
        <w:spacing w:before="60" w:after="120" w:line="300" w:lineRule="auto"/>
      </w:pPr>
      <w:r>
        <w:rPr>
          <w:b/>
          <w:bCs/>
          <w:color w:val="1A1614"/>
        </w:rPr>
        <w:t xml:space="preserve">Invalid citations excluded upfront. </w:t>
      </w:r>
      <w:r>
        <w:rPr>
          <w:color w:val="1A1614"/>
        </w:rPr>
        <w:t xml:space="preserve">~13.5% of the LLM's raw extracted citations were invalid (short cites or extraction artifacts) and are excluded from this sample by using </w:t>
      </w:r>
      <w:r>
        <w:rPr>
          <w:rFonts w:ascii="Calibri" w:eastAsia="Calibri" w:hAnsi="Calibri" w:cs="Calibri"/>
          <w:color w:val="1A1614"/>
          <w:shd w:val="clear" w:color="auto" w:fill="EFE8DC"/>
        </w:rPr>
        <w:t>citations_valid</w:t>
      </w:r>
      <w:r>
        <w:rPr>
          <w:color w:val="1A1614"/>
        </w:rPr>
        <w:t xml:space="preserve"> only.</w:t>
      </w:r>
    </w:p>
    <w:p w14:paraId="256B6C30" w14:textId="77777777" w:rsidR="00672B57" w:rsidRDefault="00000000">
      <w:pPr>
        <w:spacing w:before="60" w:after="120" w:line="300" w:lineRule="auto"/>
      </w:pPr>
      <w:r>
        <w:rPr>
          <w:b/>
          <w:bCs/>
          <w:color w:val="1A1614"/>
        </w:rPr>
        <w:t xml:space="preserve">NYSD skip. </w:t>
      </w:r>
      <w:r>
        <w:rPr>
          <w:color w:val="1A1614"/>
        </w:rPr>
        <w:t>We initially targeted SDNY (</w:t>
      </w:r>
      <w:r>
        <w:rPr>
          <w:rFonts w:ascii="Calibri" w:eastAsia="Calibri" w:hAnsi="Calibri" w:cs="Calibri"/>
          <w:color w:val="1A1614"/>
          <w:shd w:val="clear" w:color="auto" w:fill="EFE8DC"/>
        </w:rPr>
        <w:t>nysd</w:t>
      </w:r>
      <w:r>
        <w:rPr>
          <w:color w:val="1A1614"/>
        </w:rPr>
        <w:t xml:space="preserve">) as one of our federal district sources for citation mining. We had to drop it because the live scraper isn't currently capturing nysd free opinions — see </w:t>
      </w:r>
      <w:hyperlink r:id="rId13" w:history="1">
        <w:r w:rsidR="00672B57">
          <w:rPr>
            <w:color w:val="8B2014"/>
            <w:u w:val="single"/>
          </w:rPr>
          <w:t>CL #7316</w:t>
        </w:r>
      </w:hyperlink>
      <w:r>
        <w:rPr>
          <w:color w:val="1A1614"/>
        </w:rPr>
        <w:t xml:space="preserve">. This biases the sample by under-representing SDNY citations. SDNY is a heavy producer of recent unpublished WL opinions, which is the exact citation pattern most affected by </w:t>
      </w:r>
      <w:r>
        <w:rPr>
          <w:rFonts w:ascii="Calibri" w:eastAsia="Calibri" w:hAnsi="Calibri" w:cs="Calibri"/>
          <w:color w:val="1A1614"/>
          <w:shd w:val="clear" w:color="auto" w:fill="EFE8DC"/>
        </w:rPr>
        <w:t>cl_cluster_citations_empty</w:t>
      </w:r>
      <w:r>
        <w:rPr>
          <w:b/>
          <w:bCs/>
          <w:color w:val="1A1614"/>
        </w:rPr>
        <w:t>. The 93.8% federal-district coverage number is therefore likely an overestimate of what a corpus that included SDNY citations would show.</w:t>
      </w:r>
    </w:p>
    <w:p w14:paraId="2522294F" w14:textId="063A06C5" w:rsidR="00672B57" w:rsidRDefault="00000000">
      <w:pPr>
        <w:spacing w:before="60" w:after="120" w:line="300" w:lineRule="auto"/>
      </w:pPr>
      <w:r>
        <w:rPr>
          <w:b/>
          <w:bCs/>
          <w:color w:val="1A1614"/>
        </w:rPr>
        <w:t xml:space="preserve">Manual investigation matters a lot. </w:t>
      </w:r>
      <w:r>
        <w:rPr>
          <w:color w:val="1A1614"/>
        </w:rPr>
        <w:t>Without the 16 manual corrections, measured coverage would be 197/221 = 89.1%. Manual investigation lifted that to 213/221 = 96.4% — a 7.3 point gain. Anyone re-running this measurement at scale without comparable manual follow-up should expect the lookup-only and verifier-only rates (76.9% and 89.1% respectively) rather than the 96.4% total.</w:t>
      </w:r>
      <w:r w:rsidR="002A094B">
        <w:rPr>
          <w:color w:val="1A1614"/>
        </w:rPr>
        <w:t xml:space="preserve"> Using claude.ai with the CourtListener MCP helped locate many of these. </w:t>
      </w:r>
    </w:p>
    <w:p w14:paraId="718C7065" w14:textId="77777777" w:rsidR="00672B57" w:rsidRDefault="00000000">
      <w:pPr>
        <w:pStyle w:val="Heading1"/>
        <w:pBdr>
          <w:bottom w:val="single" w:sz="8" w:space="4" w:color="D4C9B6"/>
        </w:pBdr>
      </w:pPr>
      <w:r>
        <w:t>Reproducibility</w:t>
      </w:r>
    </w:p>
    <w:p w14:paraId="33C0BDFD" w14:textId="77777777" w:rsidR="00672B57" w:rsidRDefault="00000000">
      <w:pPr>
        <w:spacing w:before="60" w:after="120" w:line="300" w:lineRule="auto"/>
      </w:pPr>
      <w:r>
        <w:rPr>
          <w:color w:val="1A1614"/>
        </w:rPr>
        <w:t xml:space="preserve">All code and data live under </w:t>
      </w:r>
      <w:r>
        <w:rPr>
          <w:rFonts w:ascii="Calibri" w:eastAsia="Calibri" w:hAnsi="Calibri" w:cs="Calibri"/>
          <w:color w:val="1A1614"/>
          <w:shd w:val="clear" w:color="auto" w:fill="EFE8DC"/>
        </w:rPr>
        <w:t>benchmark/scratch/cl-coverage-offshoot/</w:t>
      </w:r>
      <w:r>
        <w:rPr>
          <w:color w:val="1A1614"/>
        </w:rPr>
        <w:t>. Key artifacts: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80"/>
        <w:gridCol w:w="6000"/>
      </w:tblGrid>
      <w:tr w:rsidR="00672B57" w14:paraId="7447D980" w14:textId="77777777">
        <w:trPr>
          <w:tblHeader/>
        </w:trPr>
        <w:tc>
          <w:tcPr>
            <w:tcW w:w="408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044570F3" w14:textId="77777777" w:rsidR="00672B57" w:rsidRDefault="00000000">
            <w:r>
              <w:rPr>
                <w:rFonts w:ascii="Calibri" w:eastAsia="Calibri" w:hAnsi="Calibri" w:cs="Calibri"/>
                <w:b/>
                <w:bCs/>
                <w:color w:val="1A1614"/>
                <w:sz w:val="18"/>
                <w:szCs w:val="18"/>
              </w:rPr>
              <w:t>File</w:t>
            </w:r>
          </w:p>
        </w:tc>
        <w:tc>
          <w:tcPr>
            <w:tcW w:w="6000" w:type="dxa"/>
            <w:tcBorders>
              <w:top w:val="single" w:sz="4" w:space="0" w:color="D4C9B6"/>
              <w:left w:val="single" w:sz="4" w:space="0" w:color="D4C9B6"/>
              <w:bottom w:val="single" w:sz="8" w:space="0" w:color="1A1614"/>
              <w:right w:val="single" w:sz="4" w:space="0" w:color="D4C9B6"/>
            </w:tcBorders>
            <w:shd w:val="clear" w:color="auto" w:fill="EFE8DC"/>
            <w:tcMar>
              <w:top w:w="80" w:type="dxa"/>
              <w:left w:w="120" w:type="dxa"/>
              <w:bottom w:w="80" w:type="dxa"/>
              <w:right w:w="120" w:type="dxa"/>
            </w:tcMar>
          </w:tcPr>
          <w:p w14:paraId="770ACC2D" w14:textId="77777777" w:rsidR="00672B57" w:rsidRDefault="00000000">
            <w:r>
              <w:rPr>
                <w:rFonts w:ascii="Calibri" w:eastAsia="Calibri" w:hAnsi="Calibri" w:cs="Calibri"/>
                <w:b/>
                <w:bCs/>
                <w:color w:val="1A1614"/>
                <w:sz w:val="18"/>
                <w:szCs w:val="18"/>
              </w:rPr>
              <w:t>What it is</w:t>
            </w:r>
          </w:p>
        </w:tc>
      </w:tr>
      <w:tr w:rsidR="00672B57" w14:paraId="3CA68F47"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36FE6C9" w14:textId="77777777" w:rsidR="00672B57" w:rsidRDefault="00000000">
            <w:r>
              <w:rPr>
                <w:rFonts w:ascii="Calibri" w:eastAsia="Calibri" w:hAnsi="Calibri" w:cs="Calibri"/>
                <w:color w:val="1A1614"/>
                <w:sz w:val="21"/>
                <w:szCs w:val="21"/>
                <w:shd w:val="clear" w:color="auto" w:fill="EFE8DC"/>
              </w:rPr>
              <w:t>final_200.csv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6F5540E" w14:textId="77777777" w:rsidR="00672B57" w:rsidRDefault="00000000">
            <w:r>
              <w:rPr>
                <w:color w:val="1A1614"/>
                <w:sz w:val="21"/>
                <w:szCs w:val="21"/>
              </w:rPr>
              <w:t>Stratified 250-row sample (post-dedup, post-cap)</w:t>
            </w:r>
          </w:p>
        </w:tc>
      </w:tr>
      <w:tr w:rsidR="00672B57" w14:paraId="638F8820"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5CD369BD" w14:textId="77777777" w:rsidR="00672B57" w:rsidRDefault="00000000">
            <w:r>
              <w:rPr>
                <w:rFonts w:ascii="Calibri" w:eastAsia="Calibri" w:hAnsi="Calibri" w:cs="Calibri"/>
                <w:color w:val="1A1614"/>
                <w:sz w:val="21"/>
                <w:szCs w:val="21"/>
                <w:shd w:val="clear" w:color="auto" w:fill="EFE8DC"/>
              </w:rPr>
              <w:t>coverage_per_citation.csv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358C546C" w14:textId="77777777" w:rsidR="00672B57" w:rsidRDefault="00000000">
            <w:r>
              <w:rPr>
                <w:color w:val="1A1614"/>
                <w:sz w:val="21"/>
                <w:szCs w:val="21"/>
              </w:rPr>
              <w:t>Phase 4 (</w:t>
            </w:r>
            <w:r>
              <w:rPr>
                <w:rFonts w:ascii="Calibri" w:eastAsia="Calibri" w:hAnsi="Calibri" w:cs="Calibri"/>
                <w:color w:val="1A1614"/>
                <w:sz w:val="21"/>
                <w:szCs w:val="21"/>
                <w:shd w:val="clear" w:color="auto" w:fill="EFE8DC"/>
              </w:rPr>
              <w:t>/citation-lookup/</w:t>
            </w:r>
            <w:r>
              <w:rPr>
                <w:color w:val="1A1614"/>
                <w:sz w:val="21"/>
                <w:szCs w:val="21"/>
              </w:rPr>
              <w:t>) results</w:t>
            </w:r>
          </w:p>
        </w:tc>
      </w:tr>
      <w:tr w:rsidR="00672B57" w14:paraId="3F2E2797"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14662C1D" w14:textId="77777777" w:rsidR="00672B57" w:rsidRDefault="00000000">
            <w:r>
              <w:rPr>
                <w:rFonts w:ascii="Calibri" w:eastAsia="Calibri" w:hAnsi="Calibri" w:cs="Calibri"/>
                <w:color w:val="1A1614"/>
                <w:sz w:val="21"/>
                <w:szCs w:val="21"/>
                <w:shd w:val="clear" w:color="auto" w:fill="EFE8DC"/>
              </w:rPr>
              <w:t>staged_fallback_rigorous_per_row.csv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2EB70B02" w14:textId="77777777" w:rsidR="00672B57" w:rsidRDefault="00000000">
            <w:r>
              <w:rPr>
                <w:color w:val="1A1614"/>
                <w:sz w:val="21"/>
                <w:szCs w:val="21"/>
              </w:rPr>
              <w:t>Phase 4c (name+RECAP fallback) results</w:t>
            </w:r>
          </w:p>
        </w:tc>
      </w:tr>
      <w:tr w:rsidR="00672B57" w14:paraId="3AFCB4E8"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68B199DB" w14:textId="77777777" w:rsidR="00672B57" w:rsidRDefault="00000000">
            <w:r>
              <w:rPr>
                <w:rFonts w:ascii="Calibri" w:eastAsia="Calibri" w:hAnsi="Calibri" w:cs="Calibri"/>
                <w:color w:val="1A1614"/>
                <w:sz w:val="21"/>
                <w:szCs w:val="21"/>
                <w:shd w:val="clear" w:color="auto" w:fill="EFE8DC"/>
              </w:rPr>
              <w:t>audit_per_row.csv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06843C6" w14:textId="77777777" w:rsidR="00672B57" w:rsidRDefault="00000000">
            <w:r>
              <w:rPr>
                <w:color w:val="1A1614"/>
                <w:sz w:val="21"/>
                <w:szCs w:val="21"/>
              </w:rPr>
              <w:t>Phase 5 audit verdicts on each rescue</w:t>
            </w:r>
          </w:p>
        </w:tc>
      </w:tr>
      <w:tr w:rsidR="00672B57" w14:paraId="6387AEBE"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0BB5080B" w14:textId="77777777" w:rsidR="00672B57" w:rsidRDefault="00000000">
            <w:r>
              <w:rPr>
                <w:rFonts w:ascii="Calibri" w:eastAsia="Calibri" w:hAnsi="Calibri" w:cs="Calibri"/>
                <w:color w:val="1A1614"/>
                <w:sz w:val="21"/>
                <w:szCs w:val="21"/>
                <w:shd w:val="clear" w:color="auto" w:fill="EFE8DC"/>
              </w:rPr>
              <w:t>recap_diagnosis.csv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3B02551B" w14:textId="77777777" w:rsidR="00672B57" w:rsidRDefault="00000000">
            <w:r>
              <w:rPr>
                <w:color w:val="1A1614"/>
                <w:sz w:val="21"/>
                <w:szCs w:val="21"/>
              </w:rPr>
              <w:t xml:space="preserve">Phase 18 sub-classification of the 7 </w:t>
            </w:r>
            <w:r>
              <w:rPr>
                <w:rFonts w:ascii="Calibri" w:eastAsia="Calibri" w:hAnsi="Calibri" w:cs="Calibri"/>
                <w:color w:val="1A1614"/>
                <w:sz w:val="21"/>
                <w:szCs w:val="21"/>
                <w:shd w:val="clear" w:color="auto" w:fill="EFE8DC"/>
              </w:rPr>
              <w:t>in_recap</w:t>
            </w:r>
            <w:r>
              <w:rPr>
                <w:color w:val="1A1614"/>
                <w:sz w:val="21"/>
                <w:szCs w:val="21"/>
              </w:rPr>
              <w:t xml:space="preserve"> cases</w:t>
            </w:r>
          </w:p>
        </w:tc>
      </w:tr>
      <w:tr w:rsidR="00672B57" w14:paraId="41BFDC29"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6747A93B" w14:textId="77777777" w:rsidR="00672B57" w:rsidRDefault="00000000">
            <w:r>
              <w:rPr>
                <w:rFonts w:ascii="Calibri" w:eastAsia="Calibri" w:hAnsi="Calibri" w:cs="Calibri"/>
                <w:color w:val="1A1614"/>
                <w:sz w:val="21"/>
                <w:szCs w:val="21"/>
                <w:shd w:val="clear" w:color="auto" w:fill="EFE8DC"/>
              </w:rPr>
              <w:t>manual_corrections.csv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3342017" w14:textId="77777777" w:rsidR="00672B57" w:rsidRDefault="00000000">
            <w:r>
              <w:rPr>
                <w:color w:val="1A1614"/>
                <w:sz w:val="21"/>
                <w:szCs w:val="21"/>
              </w:rPr>
              <w:t>16 user-investigated rescues (7 original + 9 from the not-found re-review)</w:t>
            </w:r>
          </w:p>
        </w:tc>
      </w:tr>
      <w:tr w:rsidR="00672B57" w14:paraId="52DEDD42"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786DE782" w14:textId="77777777" w:rsidR="00672B57" w:rsidRDefault="00000000">
            <w:r>
              <w:rPr>
                <w:rFonts w:ascii="Calibri" w:eastAsia="Calibri" w:hAnsi="Calibri" w:cs="Calibri"/>
                <w:color w:val="1A1614"/>
                <w:sz w:val="21"/>
                <w:szCs w:val="21"/>
                <w:shd w:val="clear" w:color="auto" w:fill="EFE8DC"/>
              </w:rPr>
              <w:t>unified_review.csv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2B576588" w14:textId="77777777" w:rsidR="00672B57" w:rsidRDefault="00000000">
            <w:r>
              <w:rPr>
                <w:color w:val="1A1614"/>
                <w:sz w:val="21"/>
                <w:szCs w:val="21"/>
              </w:rPr>
              <w:t>Full audit trail (37 columns × 250 rows)</w:t>
            </w:r>
          </w:p>
        </w:tc>
      </w:tr>
      <w:tr w:rsidR="00672B57" w14:paraId="35676847" w14:textId="77777777">
        <w:trPr>
          <w:cantSplit/>
        </w:trPr>
        <w:tc>
          <w:tcPr>
            <w:tcW w:w="408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4ADB186C" w14:textId="77777777" w:rsidR="00672B57" w:rsidRDefault="00000000">
            <w:r>
              <w:rPr>
                <w:rFonts w:ascii="Calibri" w:eastAsia="Calibri" w:hAnsi="Calibri" w:cs="Calibri"/>
                <w:color w:val="1A1614"/>
                <w:sz w:val="21"/>
                <w:szCs w:val="21"/>
                <w:shd w:val="clear" w:color="auto" w:fill="EFE8DC"/>
              </w:rPr>
              <w:t>unified_review_concise.csv</w:t>
            </w:r>
          </w:p>
        </w:tc>
        <w:tc>
          <w:tcPr>
            <w:tcW w:w="6000" w:type="dxa"/>
            <w:tcBorders>
              <w:top w:val="single" w:sz="4" w:space="0" w:color="D4C9B6"/>
              <w:left w:val="single" w:sz="4" w:space="0" w:color="D4C9B6"/>
              <w:bottom w:val="single" w:sz="4" w:space="0" w:color="D4C9B6"/>
              <w:right w:val="single" w:sz="4" w:space="0" w:color="D4C9B6"/>
            </w:tcBorders>
            <w:tcMar>
              <w:top w:w="80" w:type="dxa"/>
              <w:left w:w="120" w:type="dxa"/>
              <w:bottom w:w="80" w:type="dxa"/>
              <w:right w:w="120" w:type="dxa"/>
            </w:tcMar>
          </w:tcPr>
          <w:p w14:paraId="5244D335" w14:textId="77777777" w:rsidR="00672B57" w:rsidRDefault="00000000">
            <w:r>
              <w:rPr>
                <w:color w:val="1A1614"/>
                <w:sz w:val="21"/>
                <w:szCs w:val="21"/>
              </w:rPr>
              <w:t>Reviewer-facing view (9 columns × 250 rows)</w:t>
            </w:r>
          </w:p>
        </w:tc>
      </w:tr>
    </w:tbl>
    <w:p w14:paraId="5B184555" w14:textId="77777777" w:rsidR="00672B57" w:rsidRDefault="00000000">
      <w:pPr>
        <w:spacing w:before="60" w:after="120" w:line="300" w:lineRule="auto"/>
      </w:pPr>
      <w:r>
        <w:rPr>
          <w:color w:val="1A1614"/>
        </w:rPr>
        <w:t xml:space="preserve">To regenerate from the raw extractions: </w:t>
      </w:r>
      <w:r>
        <w:rPr>
          <w:rFonts w:ascii="Calibri" w:eastAsia="Calibri" w:hAnsi="Calibri" w:cs="Calibri"/>
          <w:color w:val="1A1614"/>
          <w:shd w:val="clear" w:color="auto" w:fill="EFE8DC"/>
        </w:rPr>
        <w:t>12_stratify.py</w:t>
      </w:r>
      <w:r>
        <w:rPr>
          <w:color w:val="1A1614"/>
        </w:rPr>
        <w:t xml:space="preserve"> → </w:t>
      </w:r>
      <w:r>
        <w:rPr>
          <w:rFonts w:ascii="Calibri" w:eastAsia="Calibri" w:hAnsi="Calibri" w:cs="Calibri"/>
          <w:color w:val="1A1614"/>
          <w:shd w:val="clear" w:color="auto" w:fill="EFE8DC"/>
        </w:rPr>
        <w:t>13_lookup_coverage.py</w:t>
      </w:r>
      <w:r>
        <w:rPr>
          <w:color w:val="1A1614"/>
        </w:rPr>
        <w:t xml:space="preserve"> → </w:t>
      </w:r>
      <w:r>
        <w:rPr>
          <w:rFonts w:ascii="Calibri" w:eastAsia="Calibri" w:hAnsi="Calibri" w:cs="Calibri"/>
          <w:color w:val="1A1614"/>
          <w:shd w:val="clear" w:color="auto" w:fill="EFE8DC"/>
        </w:rPr>
        <w:t>15_staged_fallback_rigorous.py</w:t>
      </w:r>
      <w:r>
        <w:rPr>
          <w:color w:val="1A1614"/>
        </w:rPr>
        <w:t xml:space="preserve"> → </w:t>
      </w:r>
      <w:r>
        <w:rPr>
          <w:rFonts w:ascii="Calibri" w:eastAsia="Calibri" w:hAnsi="Calibri" w:cs="Calibri"/>
          <w:color w:val="1A1614"/>
          <w:shd w:val="clear" w:color="auto" w:fill="EFE8DC"/>
        </w:rPr>
        <w:t>16_audit_rescues.py</w:t>
      </w:r>
      <w:r>
        <w:rPr>
          <w:color w:val="1A1614"/>
        </w:rPr>
        <w:t xml:space="preserve"> → </w:t>
      </w:r>
      <w:r>
        <w:rPr>
          <w:rFonts w:ascii="Calibri" w:eastAsia="Calibri" w:hAnsi="Calibri" w:cs="Calibri"/>
          <w:color w:val="1A1614"/>
          <w:shd w:val="clear" w:color="auto" w:fill="EFE8DC"/>
        </w:rPr>
        <w:t>18_diagnose_recap_cases.py</w:t>
      </w:r>
      <w:r>
        <w:rPr>
          <w:color w:val="1A1614"/>
        </w:rPr>
        <w:t xml:space="preserve"> → </w:t>
      </w:r>
      <w:r>
        <w:rPr>
          <w:rFonts w:ascii="Calibri" w:eastAsia="Calibri" w:hAnsi="Calibri" w:cs="Calibri"/>
          <w:color w:val="1A1614"/>
          <w:shd w:val="clear" w:color="auto" w:fill="EFE8DC"/>
        </w:rPr>
        <w:t>17_build_unified_review.py</w:t>
      </w:r>
      <w:r>
        <w:rPr>
          <w:color w:val="1A1614"/>
        </w:rPr>
        <w:t>.</w:t>
      </w:r>
    </w:p>
    <w:sectPr w:rsidR="00672B5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4CE9C" w14:textId="77777777" w:rsidR="004710DD" w:rsidRDefault="004710DD" w:rsidP="00AE7442">
      <w:r>
        <w:separator/>
      </w:r>
    </w:p>
  </w:endnote>
  <w:endnote w:type="continuationSeparator" w:id="0">
    <w:p w14:paraId="3ED4ABD1" w14:textId="77777777" w:rsidR="004710DD" w:rsidRDefault="004710DD" w:rsidP="00AE7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8334" w14:textId="77777777" w:rsidR="004710DD" w:rsidRDefault="004710DD" w:rsidP="00AE7442">
      <w:r>
        <w:separator/>
      </w:r>
    </w:p>
  </w:footnote>
  <w:footnote w:type="continuationSeparator" w:id="0">
    <w:p w14:paraId="77AA2679" w14:textId="77777777" w:rsidR="004710DD" w:rsidRDefault="004710DD" w:rsidP="00AE74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03360"/>
    <w:multiLevelType w:val="hybridMultilevel"/>
    <w:tmpl w:val="36E09ABC"/>
    <w:lvl w:ilvl="0" w:tplc="97CE61F6">
      <w:start w:val="1"/>
      <w:numFmt w:val="bullet"/>
      <w:lvlText w:val="•"/>
      <w:lvlJc w:val="left"/>
      <w:pPr>
        <w:ind w:left="600" w:hanging="300"/>
      </w:pPr>
    </w:lvl>
    <w:lvl w:ilvl="1" w:tplc="B310DBEE">
      <w:numFmt w:val="decimal"/>
      <w:lvlText w:val=""/>
      <w:lvlJc w:val="left"/>
    </w:lvl>
    <w:lvl w:ilvl="2" w:tplc="C75816AA">
      <w:numFmt w:val="decimal"/>
      <w:lvlText w:val=""/>
      <w:lvlJc w:val="left"/>
    </w:lvl>
    <w:lvl w:ilvl="3" w:tplc="E13AF9A4">
      <w:numFmt w:val="decimal"/>
      <w:lvlText w:val=""/>
      <w:lvlJc w:val="left"/>
    </w:lvl>
    <w:lvl w:ilvl="4" w:tplc="A9C44C0A">
      <w:numFmt w:val="decimal"/>
      <w:lvlText w:val=""/>
      <w:lvlJc w:val="left"/>
    </w:lvl>
    <w:lvl w:ilvl="5" w:tplc="6942898A">
      <w:numFmt w:val="decimal"/>
      <w:lvlText w:val=""/>
      <w:lvlJc w:val="left"/>
    </w:lvl>
    <w:lvl w:ilvl="6" w:tplc="E9BC89D8">
      <w:numFmt w:val="decimal"/>
      <w:lvlText w:val=""/>
      <w:lvlJc w:val="left"/>
    </w:lvl>
    <w:lvl w:ilvl="7" w:tplc="CB9217B8">
      <w:numFmt w:val="decimal"/>
      <w:lvlText w:val=""/>
      <w:lvlJc w:val="left"/>
    </w:lvl>
    <w:lvl w:ilvl="8" w:tplc="56E06C14">
      <w:numFmt w:val="decimal"/>
      <w:lvlText w:val=""/>
      <w:lvlJc w:val="left"/>
    </w:lvl>
  </w:abstractNum>
  <w:abstractNum w:abstractNumId="1" w15:restartNumberingAfterBreak="0">
    <w:nsid w:val="4AB13CCA"/>
    <w:multiLevelType w:val="hybridMultilevel"/>
    <w:tmpl w:val="9670E1DE"/>
    <w:lvl w:ilvl="0" w:tplc="85FED4C4">
      <w:start w:val="1"/>
      <w:numFmt w:val="decimal"/>
      <w:lvlText w:val="%1."/>
      <w:lvlJc w:val="left"/>
      <w:pPr>
        <w:ind w:left="600" w:hanging="360"/>
      </w:pPr>
      <w:rPr>
        <w:rFonts w:ascii="Cambria" w:eastAsia="Cambria" w:hAnsi="Cambria" w:cs="Cambria"/>
        <w:b/>
        <w:bCs/>
        <w:color w:val="8B2014"/>
        <w:sz w:val="28"/>
        <w:szCs w:val="28"/>
      </w:rPr>
    </w:lvl>
    <w:lvl w:ilvl="1" w:tplc="03DC85D0">
      <w:numFmt w:val="decimal"/>
      <w:lvlText w:val=""/>
      <w:lvlJc w:val="left"/>
    </w:lvl>
    <w:lvl w:ilvl="2" w:tplc="2062BC96">
      <w:numFmt w:val="decimal"/>
      <w:lvlText w:val=""/>
      <w:lvlJc w:val="left"/>
    </w:lvl>
    <w:lvl w:ilvl="3" w:tplc="6CF8C9AA">
      <w:numFmt w:val="decimal"/>
      <w:lvlText w:val=""/>
      <w:lvlJc w:val="left"/>
    </w:lvl>
    <w:lvl w:ilvl="4" w:tplc="316443FC">
      <w:numFmt w:val="decimal"/>
      <w:lvlText w:val=""/>
      <w:lvlJc w:val="left"/>
    </w:lvl>
    <w:lvl w:ilvl="5" w:tplc="AD1C91BE">
      <w:numFmt w:val="decimal"/>
      <w:lvlText w:val=""/>
      <w:lvlJc w:val="left"/>
    </w:lvl>
    <w:lvl w:ilvl="6" w:tplc="A104A790">
      <w:numFmt w:val="decimal"/>
      <w:lvlText w:val=""/>
      <w:lvlJc w:val="left"/>
    </w:lvl>
    <w:lvl w:ilvl="7" w:tplc="AE184584">
      <w:numFmt w:val="decimal"/>
      <w:lvlText w:val=""/>
      <w:lvlJc w:val="left"/>
    </w:lvl>
    <w:lvl w:ilvl="8" w:tplc="4D4E0F06">
      <w:numFmt w:val="decimal"/>
      <w:lvlText w:val=""/>
      <w:lvlJc w:val="left"/>
    </w:lvl>
  </w:abstractNum>
  <w:abstractNum w:abstractNumId="2" w15:restartNumberingAfterBreak="0">
    <w:nsid w:val="7B2102DF"/>
    <w:multiLevelType w:val="hybridMultilevel"/>
    <w:tmpl w:val="B66E29B2"/>
    <w:lvl w:ilvl="0" w:tplc="10E2EB00">
      <w:start w:val="1"/>
      <w:numFmt w:val="bullet"/>
      <w:lvlText w:val="●"/>
      <w:lvlJc w:val="left"/>
      <w:pPr>
        <w:ind w:left="720" w:hanging="360"/>
      </w:pPr>
    </w:lvl>
    <w:lvl w:ilvl="1" w:tplc="E168FE48">
      <w:start w:val="1"/>
      <w:numFmt w:val="bullet"/>
      <w:lvlText w:val="○"/>
      <w:lvlJc w:val="left"/>
      <w:pPr>
        <w:ind w:left="1440" w:hanging="360"/>
      </w:pPr>
    </w:lvl>
    <w:lvl w:ilvl="2" w:tplc="96DAC09A">
      <w:start w:val="1"/>
      <w:numFmt w:val="bullet"/>
      <w:lvlText w:val="■"/>
      <w:lvlJc w:val="left"/>
      <w:pPr>
        <w:ind w:left="2160" w:hanging="360"/>
      </w:pPr>
    </w:lvl>
    <w:lvl w:ilvl="3" w:tplc="8174A77E">
      <w:start w:val="1"/>
      <w:numFmt w:val="bullet"/>
      <w:lvlText w:val="●"/>
      <w:lvlJc w:val="left"/>
      <w:pPr>
        <w:ind w:left="2880" w:hanging="360"/>
      </w:pPr>
    </w:lvl>
    <w:lvl w:ilvl="4" w:tplc="0F34C412">
      <w:start w:val="1"/>
      <w:numFmt w:val="bullet"/>
      <w:lvlText w:val="○"/>
      <w:lvlJc w:val="left"/>
      <w:pPr>
        <w:ind w:left="3600" w:hanging="360"/>
      </w:pPr>
    </w:lvl>
    <w:lvl w:ilvl="5" w:tplc="79A29D98">
      <w:start w:val="1"/>
      <w:numFmt w:val="bullet"/>
      <w:lvlText w:val="■"/>
      <w:lvlJc w:val="left"/>
      <w:pPr>
        <w:ind w:left="4320" w:hanging="360"/>
      </w:pPr>
    </w:lvl>
    <w:lvl w:ilvl="6" w:tplc="64F819C0">
      <w:start w:val="1"/>
      <w:numFmt w:val="bullet"/>
      <w:lvlText w:val="●"/>
      <w:lvlJc w:val="left"/>
      <w:pPr>
        <w:ind w:left="5040" w:hanging="360"/>
      </w:pPr>
    </w:lvl>
    <w:lvl w:ilvl="7" w:tplc="4BEC24FC">
      <w:start w:val="1"/>
      <w:numFmt w:val="bullet"/>
      <w:lvlText w:val="●"/>
      <w:lvlJc w:val="left"/>
      <w:pPr>
        <w:ind w:left="5760" w:hanging="360"/>
      </w:pPr>
    </w:lvl>
    <w:lvl w:ilvl="8" w:tplc="650CDE1C">
      <w:start w:val="1"/>
      <w:numFmt w:val="bullet"/>
      <w:lvlText w:val="●"/>
      <w:lvlJc w:val="left"/>
      <w:pPr>
        <w:ind w:left="6480" w:hanging="360"/>
      </w:pPr>
    </w:lvl>
  </w:abstractNum>
  <w:num w:numId="1" w16cid:durableId="105009909">
    <w:abstractNumId w:val="2"/>
    <w:lvlOverride w:ilvl="0">
      <w:startOverride w:val="1"/>
    </w:lvlOverride>
  </w:num>
  <w:num w:numId="2" w16cid:durableId="1018002749">
    <w:abstractNumId w:val="0"/>
    <w:lvlOverride w:ilvl="0">
      <w:startOverride w:val="1"/>
    </w:lvlOverride>
  </w:num>
  <w:num w:numId="3" w16cid:durableId="13856379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B57"/>
    <w:rsid w:val="000416B4"/>
    <w:rsid w:val="0019744B"/>
    <w:rsid w:val="001A5967"/>
    <w:rsid w:val="002A094B"/>
    <w:rsid w:val="002E3117"/>
    <w:rsid w:val="004710DD"/>
    <w:rsid w:val="00582C8A"/>
    <w:rsid w:val="00672B57"/>
    <w:rsid w:val="006E4DAD"/>
    <w:rsid w:val="00804204"/>
    <w:rsid w:val="008900B6"/>
    <w:rsid w:val="0095293D"/>
    <w:rsid w:val="00AE7442"/>
    <w:rsid w:val="00CE77F7"/>
    <w:rsid w:val="00DB7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D629"/>
  <w15:docId w15:val="{C3F0967C-6DF2-46FB-AC8B-A68D6C049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0B6"/>
  </w:style>
  <w:style w:type="paragraph" w:styleId="Heading1">
    <w:name w:val="heading 1"/>
    <w:link w:val="Heading1Char"/>
    <w:uiPriority w:val="9"/>
    <w:qFormat/>
    <w:pPr>
      <w:spacing w:before="360" w:after="180"/>
      <w:outlineLvl w:val="0"/>
    </w:pPr>
    <w:rPr>
      <w:b/>
      <w:bCs/>
      <w:color w:val="1A1614"/>
      <w:sz w:val="32"/>
      <w:szCs w:val="32"/>
    </w:rPr>
  </w:style>
  <w:style w:type="paragraph" w:styleId="Heading2">
    <w:name w:val="heading 2"/>
    <w:uiPriority w:val="9"/>
    <w:unhideWhenUsed/>
    <w:qFormat/>
    <w:pPr>
      <w:spacing w:before="280" w:after="140"/>
      <w:outlineLvl w:val="1"/>
    </w:pPr>
    <w:rPr>
      <w:b/>
      <w:bCs/>
      <w:color w:val="1A1614"/>
      <w:sz w:val="26"/>
      <w:szCs w:val="26"/>
    </w:rPr>
  </w:style>
  <w:style w:type="paragraph" w:styleId="Heading3">
    <w:name w:val="heading 3"/>
    <w:link w:val="Heading3Char"/>
    <w:uiPriority w:val="9"/>
    <w:unhideWhenUsed/>
    <w:qFormat/>
    <w:pPr>
      <w:spacing w:before="200" w:after="100"/>
      <w:outlineLvl w:val="2"/>
    </w:pPr>
    <w:rPr>
      <w:b/>
      <w:bCs/>
      <w:color w:val="1A161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9744B"/>
    <w:rPr>
      <w:b/>
      <w:bCs/>
      <w:color w:val="1A1614"/>
      <w:sz w:val="32"/>
      <w:szCs w:val="32"/>
    </w:rPr>
  </w:style>
  <w:style w:type="character" w:customStyle="1" w:styleId="Heading3Char">
    <w:name w:val="Heading 3 Char"/>
    <w:basedOn w:val="DefaultParagraphFont"/>
    <w:link w:val="Heading3"/>
    <w:uiPriority w:val="9"/>
    <w:rsid w:val="00CE77F7"/>
    <w:rPr>
      <w:b/>
      <w:bCs/>
      <w:color w:val="1A1614"/>
      <w:sz w:val="23"/>
      <w:szCs w:val="23"/>
    </w:rPr>
  </w:style>
  <w:style w:type="character" w:styleId="Strong">
    <w:name w:val="Strong"/>
    <w:basedOn w:val="DefaultParagraphFont"/>
    <w:uiPriority w:val="22"/>
    <w:qFormat/>
    <w:rsid w:val="008900B6"/>
    <w:rPr>
      <w:b/>
      <w:bCs/>
    </w:rPr>
  </w:style>
  <w:style w:type="character" w:styleId="Emphasis">
    <w:name w:val="Emphasis"/>
    <w:basedOn w:val="DefaultParagraphFont"/>
    <w:uiPriority w:val="20"/>
    <w:qFormat/>
    <w:rsid w:val="008900B6"/>
    <w:rPr>
      <w:i/>
      <w:iCs/>
    </w:rPr>
  </w:style>
  <w:style w:type="paragraph" w:styleId="NormalWeb">
    <w:name w:val="Normal (Web)"/>
    <w:basedOn w:val="Normal"/>
    <w:uiPriority w:val="99"/>
    <w:semiHidden/>
    <w:unhideWhenUsed/>
    <w:rsid w:val="008900B6"/>
    <w:rPr>
      <w:rFonts w:ascii="Times New Roman" w:hAnsi="Times New Roman" w:cs="Times New Roman"/>
      <w:sz w:val="24"/>
      <w:szCs w:val="24"/>
    </w:rPr>
  </w:style>
  <w:style w:type="paragraph" w:styleId="Header">
    <w:name w:val="header"/>
    <w:basedOn w:val="Normal"/>
    <w:link w:val="HeaderChar"/>
    <w:uiPriority w:val="99"/>
    <w:unhideWhenUsed/>
    <w:rsid w:val="00AE7442"/>
    <w:pPr>
      <w:tabs>
        <w:tab w:val="center" w:pos="4680"/>
        <w:tab w:val="right" w:pos="9360"/>
      </w:tabs>
    </w:pPr>
  </w:style>
  <w:style w:type="character" w:customStyle="1" w:styleId="HeaderChar">
    <w:name w:val="Header Char"/>
    <w:basedOn w:val="DefaultParagraphFont"/>
    <w:link w:val="Header"/>
    <w:uiPriority w:val="99"/>
    <w:rsid w:val="00AE7442"/>
  </w:style>
  <w:style w:type="paragraph" w:styleId="Footer">
    <w:name w:val="footer"/>
    <w:basedOn w:val="Normal"/>
    <w:link w:val="FooterChar"/>
    <w:uiPriority w:val="99"/>
    <w:unhideWhenUsed/>
    <w:rsid w:val="00AE7442"/>
    <w:pPr>
      <w:tabs>
        <w:tab w:val="center" w:pos="4680"/>
        <w:tab w:val="right" w:pos="9360"/>
      </w:tabs>
    </w:pPr>
  </w:style>
  <w:style w:type="character" w:customStyle="1" w:styleId="FooterChar">
    <w:name w:val="Footer Char"/>
    <w:basedOn w:val="DefaultParagraphFont"/>
    <w:link w:val="Footer"/>
    <w:uiPriority w:val="99"/>
    <w:rsid w:val="00AE7442"/>
  </w:style>
  <w:style w:type="character" w:styleId="UnresolvedMention">
    <w:name w:val="Unresolved Mention"/>
    <w:basedOn w:val="DefaultParagraphFont"/>
    <w:uiPriority w:val="99"/>
    <w:semiHidden/>
    <w:unhideWhenUsed/>
    <w:rsid w:val="002A0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freelawproject/courtlistener/issues/731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freelawproject/courtlistener/issues/731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reelawproject/courtlistener/issues/731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courtlistener.com/docket/547476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1551</Words>
  <Characters>8689</Characters>
  <Application>Microsoft Office Word</Application>
  <DocSecurity>0</DocSecurity>
  <Lines>193</Lines>
  <Paragraphs>126</Paragraphs>
  <ScaleCrop>false</ScaleCrop>
  <HeadingPairs>
    <vt:vector size="2" baseType="variant">
      <vt:variant>
        <vt:lpstr>Title</vt:lpstr>
      </vt:variant>
      <vt:variant>
        <vt:i4>1</vt:i4>
      </vt:variant>
    </vt:vector>
  </HeadingPairs>
  <TitlesOfParts>
    <vt:vector size="1" baseType="lpstr">
      <vt:lpstr>CourtListener coverage of cited cases</vt:lpstr>
    </vt:vector>
  </TitlesOfParts>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CourtListener coverage of cited cases</dc:title>
  <dc:creator>Rebecca Fordon</dc:creator>
  <cp:lastModifiedBy>Rebecca F</cp:lastModifiedBy>
  <cp:revision>4</cp:revision>
  <dcterms:created xsi:type="dcterms:W3CDTF">2026-05-17T05:08:00Z</dcterms:created>
  <dcterms:modified xsi:type="dcterms:W3CDTF">2026-05-17T06:40:00Z</dcterms:modified>
</cp:coreProperties>
</file>