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F4E79"/>
          <w:sz w:val="44"/>
          <w:szCs w:val="44"/>
        </w:rPr>
        <w:t xml:space="preserve">PRIMORDIAL FLUID DARK MATTER</w:t>
      </w:r>
    </w:p>
    <w:p>
      <w:pPr>
        <w:spacing w:after="200"/>
        <w:jc w:val="center"/>
      </w:pPr>
      <w:r>
        <w:rPr>
          <w:rFonts w:ascii="Arial" w:cs="Arial" w:eastAsia="Arial" w:hAnsi="Arial"/>
          <w:color w:val="2C3E50"/>
          <w:sz w:val="28"/>
          <w:szCs w:val="28"/>
        </w:rPr>
        <w:t xml:space="preserve">A Bose-Einstein Condensate Framework for Galactic Dynamics</w:t>
      </w:r>
    </w:p>
    <w:p>
      <w:pPr>
        <w:pBdr>
          <w:bottom w:val="single" w:color="CCCCCC" w:sz="4"/>
        </w:pBdr>
        <w:spacing w:before="200" w:after="200"/>
      </w:pPr>
    </w:p>
    <w:p>
      <w:pPr>
        <w:spacing w:after="80"/>
        <w:jc w:val="center"/>
      </w:pPr>
      <w:r>
        <w:rPr>
          <w:rFonts w:ascii="Arial" w:cs="Arial" w:eastAsia="Arial" w:hAnsi="Arial"/>
          <w:color w:val="5A6C7D"/>
          <w:sz w:val="24"/>
          <w:szCs w:val="24"/>
        </w:rPr>
        <w:t xml:space="preserve">Research Roadmap &amp; Status Report</w:t>
      </w:r>
    </w:p>
    <w:p>
      <w:pPr>
        <w:spacing w:after="400"/>
        <w:jc w:val="center"/>
      </w:pPr>
      <w:r>
        <w:rPr>
          <w:rFonts w:ascii="Arial" w:cs="Arial" w:eastAsia="Arial" w:hAnsi="Arial"/>
          <w:color w:val="5A6C7D"/>
          <w:sz w:val="22"/>
          <w:szCs w:val="22"/>
        </w:rPr>
        <w:t xml:space="preserve">February 2026</w:t>
      </w:r>
    </w:p>
    <w:p>
      <w:pPr>
        <w:pBdr>
          <w:top w:val="single" w:color="1F4E79" w:sz="2"/>
          <w:bottom w:val="single" w:color="1F4E79" w:sz="2"/>
        </w:pBdr>
        <w:shd w:fill="E8F0FE" w:val="clear"/>
        <w:spacing w:before="400" w:after="120"/>
      </w:pPr>
      <w:r>
        <w:rPr>
          <w:rFonts w:ascii="Arial" w:cs="Arial" w:eastAsia="Arial" w:hAnsi="Arial"/>
          <w:b/>
          <w:bCs/>
          <w:color w:val="1F4E79"/>
          <w:sz w:val="22"/>
          <w:szCs w:val="22"/>
        </w:rPr>
        <w:t xml:space="preserve">  Executive Summary: </w:t>
      </w:r>
      <w:r>
        <w:rPr>
          <w:rFonts w:ascii="Arial" w:cs="Arial" w:eastAsia="Arial" w:hAnsi="Arial"/>
          <w:color w:val="333333"/>
          <w:sz w:val="21"/>
          <w:szCs w:val="21"/>
        </w:rPr>
        <w:t xml:space="preserve">The Radial Acceleration Relation (RAR) — the empirical law governing all observed galaxy dynamics — is algebraically identical to the Bose-Einstein distribution. This identifies dark matter as a quantum fluid (BEC) that condenses into observable space below a critical acceleration scale g† = 1.2×10⁻¹⁰ m/s². We have validated this framework against the SPARC database (175 galaxies, 2,540 data points after quality cuts) through three independent tests, finding the environmental prediction confirmed at 99.8% confidence.</w:t>
      </w:r>
    </w:p>
    <w:p>
      <w:pPr>
        <w:pageBreakBefore/>
      </w:pPr>
      <w:r>
        <w:br/>
      </w:r>
    </w:p>
    <w:p>
      <w:pPr>
        <w:pStyle w:val="Heading1"/>
      </w:pPr>
      <w:r>
        <w:rPr>
          <w:rFonts w:ascii="Arial" w:cs="Arial" w:eastAsia="Arial" w:hAnsi="Arial"/>
          <w:b/>
          <w:bCs/>
          <w:color w:val="1F4E79"/>
          <w:sz w:val="36"/>
          <w:szCs w:val="36"/>
        </w:rPr>
        <w:t xml:space="preserve">1. The Hypothesis</w:t>
      </w:r>
    </w:p>
    <w:p>
      <w:pPr>
        <w:spacing w:after="120" w:line="276"/>
        <w:jc w:val="left"/>
      </w:pPr>
      <w:r>
        <w:rPr>
          <w:rFonts w:ascii="Arial" w:cs="Arial" w:eastAsia="Arial" w:hAnsi="Arial"/>
          <w:color w:val="333333"/>
          <w:sz w:val="22"/>
          <w:szCs w:val="22"/>
        </w:rPr>
        <w:t xml:space="preserve">We propose that dark matter is a primordial quantum fluid — a Bose-Einstein condensate (BEC) — that exists on a higher-dimensional manifold and couples to baryonic matter through spacetime curvature. Where gravitational acceleration drops below a critical threshold g† ≈ 1.2×10⁻¹⁰ m/s², the fluid condenses into observable 3+1 dimensional spacetime, producing the dynamical effects attributed to dark matter.</w:t>
      </w:r>
    </w:p>
    <w:p>
      <w:pPr>
        <w:spacing w:after="120" w:line="276"/>
        <w:jc w:val="left"/>
      </w:pPr>
      <w:r>
        <w:rPr>
          <w:rFonts w:ascii="Arial" w:cs="Arial" w:eastAsia="Arial" w:hAnsi="Arial"/>
          <w:color w:val="333333"/>
          <w:sz w:val="22"/>
          <w:szCs w:val="22"/>
        </w:rPr>
        <w:t xml:space="preserve">This framework makes three foundational claims:</w:t>
      </w:r>
    </w:p>
    <w:p>
      <w:pPr>
        <w:pStyle w:val="ListParagraph"/>
        <w:numPr>
          <w:ilvl w:val="0"/>
          <w:numId w:val="2"/>
        </w:numPr>
        <w:spacing w:after="80" w:line="276"/>
      </w:pPr>
      <w:r>
        <w:rPr>
          <w:rFonts w:ascii="Arial" w:cs="Arial" w:eastAsia="Arial" w:hAnsi="Arial"/>
          <w:b/>
          <w:bCs/>
          <w:color w:val="333333"/>
          <w:sz w:val="22"/>
          <w:szCs w:val="22"/>
        </w:rPr>
        <w:t xml:space="preserve">The RAR is an equation of state, not an empirical fit. </w:t>
      </w:r>
      <w:r>
        <w:rPr>
          <w:rFonts w:ascii="Arial" w:cs="Arial" w:eastAsia="Arial" w:hAnsi="Arial"/>
          <w:color w:val="333333"/>
          <w:sz w:val="22"/>
          <w:szCs w:val="22"/>
        </w:rPr>
        <w:t xml:space="preserve">The observed relation between baryonic acceleration (g_bar) and total acceleration (g_obs) follows directly from Bose-Einstein occupation statistics applied to the fluid’s curvature-excited modes.</w:t>
      </w:r>
    </w:p>
    <w:p>
      <w:pPr>
        <w:pStyle w:val="ListParagraph"/>
        <w:numPr>
          <w:ilvl w:val="0"/>
          <w:numId w:val="2"/>
        </w:numPr>
        <w:spacing w:after="80" w:line="276"/>
      </w:pPr>
      <w:r>
        <w:rPr>
          <w:rFonts w:ascii="Arial" w:cs="Arial" w:eastAsia="Arial" w:hAnsi="Arial"/>
          <w:b/>
          <w:bCs/>
          <w:color w:val="333333"/>
          <w:sz w:val="22"/>
          <w:szCs w:val="22"/>
        </w:rPr>
        <w:t xml:space="preserve">g† is the condensation temperature. </w:t>
      </w:r>
      <w:r>
        <w:rPr>
          <w:rFonts w:ascii="Arial" w:cs="Arial" w:eastAsia="Arial" w:hAnsi="Arial"/>
          <w:color w:val="333333"/>
          <w:sz w:val="22"/>
          <w:szCs w:val="22"/>
        </w:rPr>
        <w:t xml:space="preserve">The critical acceleration scale g† is not a free parameter but the thermodynamic condensation threshold of the fluid, analogous to the critical temperature in laboratory BECs.</w:t>
      </w:r>
    </w:p>
    <w:p>
      <w:pPr>
        <w:pStyle w:val="ListParagraph"/>
        <w:numPr>
          <w:ilvl w:val="0"/>
          <w:numId w:val="2"/>
        </w:numPr>
        <w:spacing w:after="80" w:line="276"/>
      </w:pPr>
      <w:r>
        <w:rPr>
          <w:rFonts w:ascii="Arial" w:cs="Arial" w:eastAsia="Arial" w:hAnsi="Arial"/>
          <w:b/>
          <w:bCs/>
          <w:color w:val="333333"/>
          <w:sz w:val="22"/>
          <w:szCs w:val="22"/>
        </w:rPr>
        <w:t xml:space="preserve">The fluid has measurable thermodynamic properties. </w:t>
      </w:r>
      <w:r>
        <w:rPr>
          <w:rFonts w:ascii="Arial" w:cs="Arial" w:eastAsia="Arial" w:hAnsi="Arial"/>
          <w:color w:val="333333"/>
          <w:sz w:val="22"/>
          <w:szCs w:val="22"/>
        </w:rPr>
        <w:t xml:space="preserve">Scatter, skewness, and kurtosis in the RAR residuals encode the fluid’s velocity dispersion, thermal state, and self-gravitating dynamics — not just observational noise.</w:t>
      </w:r>
    </w:p>
    <w:p>
      <w:pPr>
        <w:pStyle w:val="Heading1"/>
      </w:pPr>
      <w:r>
        <w:rPr>
          <w:rFonts w:ascii="Arial" w:cs="Arial" w:eastAsia="Arial" w:hAnsi="Arial"/>
          <w:b/>
          <w:bCs/>
          <w:color w:val="1F4E79"/>
          <w:sz w:val="36"/>
          <w:szCs w:val="36"/>
        </w:rPr>
        <w:t xml:space="preserve">2. Key Theoretical Result: RAR = Bose-Einstein Statistics</w:t>
      </w:r>
    </w:p>
    <w:p>
      <w:pPr>
        <w:pStyle w:val="Heading2"/>
      </w:pPr>
      <w:r>
        <w:rPr>
          <w:rFonts w:ascii="Arial" w:cs="Arial" w:eastAsia="Arial" w:hAnsi="Arial"/>
          <w:color w:val="333333"/>
          <w:sz w:val="22"/>
          <w:szCs w:val="22"/>
        </w:rPr>
        <w:t xml:space="preserve">2.1 The Algebraic Identity</w:t>
      </w:r>
    </w:p>
    <w:p>
      <w:pPr>
        <w:spacing w:after="120" w:line="276"/>
        <w:jc w:val="left"/>
      </w:pPr>
      <w:r>
        <w:rPr>
          <w:rFonts w:ascii="Arial" w:cs="Arial" w:eastAsia="Arial" w:hAnsi="Arial"/>
          <w:color w:val="333333"/>
          <w:sz w:val="22"/>
          <w:szCs w:val="22"/>
        </w:rPr>
        <w:t xml:space="preserve">The standard empirical RAR (McGaugh et al. 2016) relates observed to baryonic acceleration:</w:t>
      </w:r>
    </w:p>
    <w:p>
      <w:pPr>
        <w:spacing w:before="200" w:after="200"/>
        <w:jc w:val="center"/>
      </w:pPr>
      <w:r>
        <w:rPr>
          <w:rFonts w:ascii="Cambria Math" w:cs="Cambria Math" w:eastAsia="Cambria Math" w:hAnsi="Cambria Math"/>
          <w:b/>
          <w:bCs/>
          <w:color w:val="1F4E79"/>
          <w:sz w:val="24"/>
          <w:szCs w:val="24"/>
        </w:rPr>
        <w:t xml:space="preserve">g_obs = g_bar / [1 − exp(−√(g_bar / g†))]</w:t>
      </w:r>
    </w:p>
    <w:p>
      <w:pPr>
        <w:spacing w:after="120" w:line="276"/>
        <w:jc w:val="left"/>
      </w:pPr>
      <w:r>
        <w:rPr>
          <w:rFonts w:ascii="Arial" w:cs="Arial" w:eastAsia="Arial" w:hAnsi="Arial"/>
          <w:color w:val="333333"/>
          <w:sz w:val="22"/>
          <w:szCs w:val="22"/>
        </w:rPr>
        <w:t xml:space="preserve">Rearranging to isolate the dark matter contribution g_DM = g_obs − g_bar:</w:t>
      </w:r>
    </w:p>
    <w:p>
      <w:pPr>
        <w:spacing w:before="200" w:after="200"/>
        <w:jc w:val="center"/>
      </w:pPr>
      <w:r>
        <w:rPr>
          <w:rFonts w:ascii="Cambria Math" w:cs="Cambria Math" w:eastAsia="Cambria Math" w:hAnsi="Cambria Math"/>
          <w:b/>
          <w:bCs/>
          <w:color w:val="1F4E79"/>
          <w:sz w:val="24"/>
          <w:szCs w:val="24"/>
        </w:rPr>
        <w:t xml:space="preserve">g_DM / g_bar = 1 / [exp(√(g_bar / g†)) − 1]</w:t>
      </w:r>
    </w:p>
    <w:p>
      <w:pPr>
        <w:spacing w:after="120" w:line="276"/>
        <w:jc w:val="left"/>
      </w:pPr>
      <w:r>
        <w:rPr>
          <w:rFonts w:ascii="Arial" w:cs="Arial" w:eastAsia="Arial" w:hAnsi="Arial"/>
          <w:color w:val="333333"/>
          <w:sz w:val="22"/>
          <w:szCs w:val="22"/>
        </w:rPr>
        <w:t xml:space="preserve">This is </w:t>
      </w:r>
      <w:r>
        <w:rPr>
          <w:rFonts w:ascii="Arial" w:cs="Arial" w:eastAsia="Arial" w:hAnsi="Arial"/>
          <w:b/>
          <w:bCs/>
          <w:color w:val="333333"/>
          <w:sz w:val="22"/>
          <w:szCs w:val="22"/>
        </w:rPr>
        <w:t xml:space="preserve">exactly</w:t>
      </w:r>
      <w:r>
        <w:rPr>
          <w:rFonts w:ascii="Arial" w:cs="Arial" w:eastAsia="Arial" w:hAnsi="Arial"/>
          <w:color w:val="333333"/>
          <w:sz w:val="22"/>
          <w:szCs w:val="22"/>
        </w:rPr>
        <w:t xml:space="preserve"> the Bose-Einstein occupation number n(ε) = 1/[exp(ε) − 1] with dimensionless mode energy ε = √(g_bar/g†) and chemical potential μ = 0 (like photons). The identity is algebraic, not approximate — verified numerically to machine precision (|ratio − 1| &lt; 10⁻¹⁴).</w:t>
      </w:r>
    </w:p>
    <w:p>
      <w:pPr>
        <w:pStyle w:val="Heading2"/>
      </w:pPr>
      <w:r>
        <w:rPr>
          <w:rFonts w:ascii="Arial" w:cs="Arial" w:eastAsia="Arial" w:hAnsi="Arial"/>
          <w:color w:val="333333"/>
          <w:sz w:val="22"/>
          <w:szCs w:val="22"/>
        </w:rPr>
        <w:t xml:space="preserve">2.2 Physical Interpretation</w:t>
      </w:r>
    </w:p>
    <w:p>
      <w:pPr>
        <w:spacing w:after="120" w:line="276"/>
        <w:jc w:val="left"/>
      </w:pPr>
      <w:r>
        <w:rPr>
          <w:rFonts w:ascii="Arial" w:cs="Arial" w:eastAsia="Arial" w:hAnsi="Arial"/>
          <w:color w:val="333333"/>
          <w:sz w:val="22"/>
          <w:szCs w:val="22"/>
        </w:rPr>
        <w:t xml:space="preserve">The BE identification maps every feature of galactic dynamics to condensate physics: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Regime</w:t>
            </w:r>
          </w:p>
        </w:tc>
        <w:tc>
          <w:tcPr>
            <w:tcW w:type="dxa" w:w="35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Condensate Physics</w:t>
            </w:r>
          </w:p>
        </w:tc>
        <w:tc>
          <w:tcPr>
            <w:tcW w:type="dxa" w:w="35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Galactic Observation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g_bar ≫ 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ε ≫ 1: thermal regime, occupation ~ exp(−ε) → 0</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Newtonian dynamics, minimal DM. Inner galaxy.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g_bar ≪ 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ε ≪ 1: condensation, occupation ~ 1/ε → diverges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Flat rotation curves, MOND regime. Outer galaxy.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g_bar ≈ 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ε ≈ 1: transition at condensation temperature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RAR transition region. g† = 1.2×10⁻¹⁰ m/s².</w:t>
            </w:r>
          </w:p>
        </w:tc>
      </w:tr>
    </w:tbl>
    <w:p>
      <w:pPr>
        <w:spacing w:before="100"/>
      </w:pPr>
    </w:p>
    <w:p>
      <w:pPr>
        <w:pStyle w:val="Heading2"/>
      </w:pPr>
      <w:r>
        <w:rPr>
          <w:rFonts w:ascii="Arial" w:cs="Arial" w:eastAsia="Arial" w:hAnsi="Arial"/>
          <w:color w:val="333333"/>
          <w:sz w:val="22"/>
          <w:szCs w:val="22"/>
        </w:rPr>
        <w:t xml:space="preserve">2.3 Derivation of the Dispersion Relation</w:t>
      </w:r>
    </w:p>
    <w:p>
      <w:pPr>
        <w:spacing w:after="120" w:line="276"/>
        <w:jc w:val="left"/>
      </w:pPr>
      <w:r>
        <w:rPr>
          <w:rFonts w:ascii="Arial" w:cs="Arial" w:eastAsia="Arial" w:hAnsi="Arial"/>
          <w:color w:val="333333"/>
          <w:sz w:val="22"/>
          <w:szCs w:val="22"/>
        </w:rPr>
        <w:t xml:space="preserve">The ε = √(g/g†) form is not assumed — it emerges from fluid physics. The condensate has a healing length ξ (coherence length). Curvature couples through the gravitational potential Φ:</w:t>
      </w:r>
    </w:p>
    <w:p>
      <w:pPr>
        <w:spacing w:before="200" w:after="200"/>
        <w:jc w:val="center"/>
      </w:pPr>
      <w:r>
        <w:rPr>
          <w:rFonts w:ascii="Cambria Math" w:cs="Cambria Math" w:eastAsia="Cambria Math" w:hAnsi="Cambria Math"/>
          <w:b/>
          <w:bCs/>
          <w:color w:val="1F4E79"/>
          <w:sz w:val="24"/>
          <w:szCs w:val="24"/>
        </w:rPr>
        <w:t xml:space="preserve">ε = |Φ| / (g† · ξ)</w:t>
      </w:r>
    </w:p>
    <w:p>
      <w:pPr>
        <w:spacing w:after="120" w:line="276"/>
        <w:jc w:val="left"/>
      </w:pPr>
      <w:r>
        <w:rPr>
          <w:rFonts w:ascii="Arial" w:cs="Arial" w:eastAsia="Arial" w:hAnsi="Arial"/>
          <w:color w:val="333333"/>
          <w:sz w:val="22"/>
          <w:szCs w:val="22"/>
        </w:rPr>
        <w:t xml:space="preserve">The Jeans stability condition self-consistently sets the healing length equal to the critical radius:</w:t>
      </w:r>
    </w:p>
    <w:p>
      <w:pPr>
        <w:spacing w:before="200" w:after="200"/>
        <w:jc w:val="center"/>
      </w:pPr>
      <w:r>
        <w:rPr>
          <w:rFonts w:ascii="Cambria Math" w:cs="Cambria Math" w:eastAsia="Cambria Math" w:hAnsi="Cambria Math"/>
          <w:b/>
          <w:bCs/>
          <w:color w:val="1F4E79"/>
          <w:sz w:val="24"/>
          <w:szCs w:val="24"/>
        </w:rPr>
        <w:t xml:space="preserve">ξ = √(GM / g†)</w:t>
      </w:r>
    </w:p>
    <w:p>
      <w:pPr>
        <w:spacing w:after="120" w:line="276"/>
        <w:jc w:val="left"/>
      </w:pPr>
      <w:r>
        <w:rPr>
          <w:rFonts w:ascii="Arial" w:cs="Arial" w:eastAsia="Arial" w:hAnsi="Arial"/>
          <w:color w:val="333333"/>
          <w:sz w:val="22"/>
          <w:szCs w:val="22"/>
        </w:rPr>
        <w:t xml:space="preserve">Substituting, since g = GM/r² and |Φ| = GM/r:</w:t>
      </w:r>
    </w:p>
    <w:p>
      <w:pPr>
        <w:spacing w:before="200" w:after="200"/>
        <w:jc w:val="center"/>
      </w:pPr>
      <w:r>
        <w:rPr>
          <w:rFonts w:ascii="Cambria Math" w:cs="Cambria Math" w:eastAsia="Cambria Math" w:hAnsi="Cambria Math"/>
          <w:b/>
          <w:bCs/>
          <w:color w:val="1F4E79"/>
          <w:sz w:val="24"/>
          <w:szCs w:val="24"/>
        </w:rPr>
        <w:t xml:space="preserve">ε = (GM/r) / (g† · √(GM/g†)) = √(g/g†)</w:t>
      </w:r>
    </w:p>
    <w:p>
      <w:pPr>
        <w:spacing w:after="120" w:line="276"/>
        <w:jc w:val="left"/>
      </w:pPr>
      <w:r>
        <w:rPr>
          <w:rFonts w:ascii="Arial" w:cs="Arial" w:eastAsia="Arial" w:hAnsi="Arial"/>
          <w:color w:val="333333"/>
          <w:sz w:val="22"/>
          <w:szCs w:val="22"/>
        </w:rPr>
        <w:t xml:space="preserve">The healing length is not a free parameter. It is determined by the condensation condition itself. At r = ξ, we get ε = 1 exactly — the condensation boundary always falls at the critical radius r† = √(GM/g†).</w:t>
      </w:r>
    </w:p>
    <w:p>
      <w:pPr>
        <w:pStyle w:val="Heading2"/>
      </w:pPr>
      <w:r>
        <w:rPr>
          <w:rFonts w:ascii="Arial" w:cs="Arial" w:eastAsia="Arial" w:hAnsi="Arial"/>
          <w:color w:val="333333"/>
          <w:sz w:val="22"/>
          <w:szCs w:val="22"/>
        </w:rPr>
        <w:t xml:space="preserve">2.4 Derived Consequences</w:t>
      </w:r>
    </w:p>
    <w:p>
      <w:pPr>
        <w:spacing w:after="120" w:line="276"/>
        <w:jc w:val="left"/>
      </w:pPr>
      <w:r>
        <w:rPr>
          <w:rFonts w:ascii="Arial" w:cs="Arial" w:eastAsia="Arial" w:hAnsi="Arial"/>
          <w:b/>
          <w:bCs/>
          <w:color w:val="333333"/>
          <w:sz w:val="22"/>
          <w:szCs w:val="22"/>
        </w:rPr>
        <w:t xml:space="preserve">Baryonic Tully-Fisher Relation: </w:t>
      </w:r>
      <w:r>
        <w:rPr>
          <w:rFonts w:ascii="Arial" w:cs="Arial" w:eastAsia="Arial" w:hAnsi="Arial"/>
          <w:color w:val="333333"/>
          <w:sz w:val="22"/>
          <w:szCs w:val="22"/>
        </w:rPr>
        <w:t xml:space="preserve">In the condensation regime (ε ≪ 1), g_DM ≈ √(g_bar · g†). For circular orbits: V⁴ = G·M·g†. This is the BTFR, derived here as a consequence of Bose condensation rather than postulated.</w:t>
      </w:r>
    </w:p>
    <w:p>
      <w:pPr>
        <w:spacing w:after="120" w:line="276"/>
        <w:jc w:val="left"/>
      </w:pPr>
      <w:r>
        <w:rPr>
          <w:rFonts w:ascii="Arial" w:cs="Arial" w:eastAsia="Arial" w:hAnsi="Arial"/>
          <w:b/>
          <w:bCs/>
          <w:color w:val="333333"/>
          <w:sz w:val="22"/>
          <w:szCs w:val="22"/>
        </w:rPr>
        <w:t xml:space="preserve">Flat rotation curves: </w:t>
      </w:r>
      <w:r>
        <w:rPr>
          <w:rFonts w:ascii="Arial" w:cs="Arial" w:eastAsia="Arial" w:hAnsi="Arial"/>
          <w:color w:val="333333"/>
          <w:sz w:val="22"/>
          <w:szCs w:val="22"/>
        </w:rPr>
        <w:t xml:space="preserve">The 1/ε divergence at low curvature produces g_DM ∝ √(g_bar), which yields V_circ → constant at large radii.</w:t>
      </w:r>
    </w:p>
    <w:p>
      <w:pPr>
        <w:spacing w:after="120" w:line="276"/>
        <w:jc w:val="left"/>
      </w:pPr>
      <w:r>
        <w:rPr>
          <w:rFonts w:ascii="Arial" w:cs="Arial" w:eastAsia="Arial" w:hAnsi="Arial"/>
          <w:b/>
          <w:bCs/>
          <w:color w:val="333333"/>
          <w:sz w:val="22"/>
          <w:szCs w:val="22"/>
        </w:rPr>
        <w:t xml:space="preserve">Fractional phonon dispersion: </w:t>
      </w:r>
      <w:r>
        <w:rPr>
          <w:rFonts w:ascii="Arial" w:cs="Arial" w:eastAsia="Arial" w:hAnsi="Arial"/>
          <w:color w:val="333333"/>
          <w:sz w:val="22"/>
          <w:szCs w:val="22"/>
        </w:rPr>
        <w:t xml:space="preserve">The ε ∝ √(g) form corresponds to ω ∝ k½, intermediate between relativistic (ω ∝ k) and non-relativistic (ω ∝ k²). This is characteristic of a system at a critical point between ordered and disordered phases.</w:t>
      </w:r>
    </w:p>
    <w:p>
      <w:pPr>
        <w:spacing w:after="120" w:line="276"/>
        <w:jc w:val="left"/>
      </w:pPr>
      <w:r>
        <w:rPr>
          <w:rFonts w:ascii="Arial" w:cs="Arial" w:eastAsia="Arial" w:hAnsi="Arial"/>
          <w:b/>
          <w:bCs/>
          <w:color w:val="333333"/>
          <w:sz w:val="22"/>
          <w:szCs w:val="22"/>
        </w:rPr>
        <w:t xml:space="preserve">Milgrom’s coincidence: </w:t>
      </w:r>
      <w:r>
        <w:rPr>
          <w:rFonts w:ascii="Arial" w:cs="Arial" w:eastAsia="Arial" w:hAnsi="Arial"/>
          <w:color w:val="333333"/>
          <w:sz w:val="22"/>
          <w:szCs w:val="22"/>
        </w:rPr>
        <w:t xml:space="preserve">g† ≈ cH₀/2π is not a coincidence in this framework — if the condensation temperature is set by the Hubble expansion, then g† ∝ cH(z), predicting evolution of the RAR with redshift.</w:t>
      </w:r>
    </w:p>
    <w:p>
      <w:pPr>
        <w:pageBreakBefore/>
      </w:pPr>
      <w:r>
        <w:br/>
      </w:r>
    </w:p>
    <w:p>
      <w:pPr>
        <w:pStyle w:val="Heading1"/>
      </w:pPr>
      <w:r>
        <w:rPr>
          <w:rFonts w:ascii="Arial" w:cs="Arial" w:eastAsia="Arial" w:hAnsi="Arial"/>
          <w:b/>
          <w:bCs/>
          <w:color w:val="1F4E79"/>
          <w:sz w:val="36"/>
          <w:szCs w:val="36"/>
        </w:rPr>
        <w:t xml:space="preserve">3. Completed Empirical Analysis</w:t>
      </w:r>
    </w:p>
    <w:p>
      <w:pPr>
        <w:pStyle w:val="Heading2"/>
      </w:pPr>
      <w:r>
        <w:rPr>
          <w:rFonts w:ascii="Arial" w:cs="Arial" w:eastAsia="Arial" w:hAnsi="Arial"/>
          <w:color w:val="333333"/>
          <w:sz w:val="22"/>
          <w:szCs w:val="22"/>
        </w:rPr>
        <w:t xml:space="preserve">3.1 Dataset &amp; Pipeline</w:t>
      </w:r>
    </w:p>
    <w:p>
      <w:pPr>
        <w:spacing w:after="120" w:line="276"/>
        <w:jc w:val="left"/>
      </w:pPr>
      <w:r>
        <w:rPr>
          <w:rFonts w:ascii="Arial" w:cs="Arial" w:eastAsia="Arial" w:hAnsi="Arial"/>
          <w:color w:val="333333"/>
          <w:sz w:val="22"/>
          <w:szCs w:val="22"/>
        </w:rPr>
        <w:t xml:space="preserve">All analysis uses the SPARC database (Lelli, McGaugh &amp; Schombert 2016): 175 galaxies with Spitzer 3.6μm photometry and HI/Hα rotation curves. Our pipeline applies:</w:t>
      </w:r>
    </w:p>
    <w:p>
      <w:pPr>
        <w:pStyle w:val="ListParagraph"/>
        <w:numPr>
          <w:ilvl w:val="0"/>
          <w:numId w:val="3"/>
        </w:numPr>
        <w:spacing w:after="60" w:line="276"/>
      </w:pPr>
      <w:r>
        <w:rPr>
          <w:rFonts w:ascii="Arial" w:cs="Arial" w:eastAsia="Arial" w:hAnsi="Arial"/>
          <w:b/>
          <w:bCs/>
          <w:color w:val="333333"/>
          <w:sz w:val="22"/>
          <w:szCs w:val="22"/>
        </w:rPr>
        <w:t xml:space="preserve">Quality cuts: </w:t>
      </w:r>
      <w:r>
        <w:rPr>
          <w:rFonts w:ascii="Arial" w:cs="Arial" w:eastAsia="Arial" w:hAnsi="Arial"/>
          <w:color w:val="333333"/>
          <w:sz w:val="22"/>
          <w:szCs w:val="22"/>
        </w:rPr>
        <w:t xml:space="preserve">Removed Q=3 galaxies (12), applied inclination cuts (30°–85°), required ≥10 data points per galaxy → 98 galaxies, 2,540 data points.</w:t>
      </w:r>
    </w:p>
    <w:p>
      <w:pPr>
        <w:pStyle w:val="ListParagraph"/>
        <w:numPr>
          <w:ilvl w:val="0"/>
          <w:numId w:val="3"/>
        </w:numPr>
        <w:spacing w:after="60" w:line="276"/>
      </w:pPr>
      <w:r>
        <w:rPr>
          <w:rFonts w:ascii="Arial" w:cs="Arial" w:eastAsia="Arial" w:hAnsi="Arial"/>
          <w:b/>
          <w:bCs/>
          <w:color w:val="333333"/>
          <w:sz w:val="22"/>
          <w:szCs w:val="22"/>
        </w:rPr>
        <w:t xml:space="preserve">Per-galaxy M/L optimization: </w:t>
      </w:r>
      <w:r>
        <w:rPr>
          <w:rFonts w:ascii="Arial" w:cs="Arial" w:eastAsia="Arial" w:hAnsi="Arial"/>
          <w:color w:val="333333"/>
          <w:sz w:val="22"/>
          <w:szCs w:val="22"/>
        </w:rPr>
        <w:t xml:space="preserve">Fitted Υ_disk and Υ_bulge individually (Li et al. 2018 approach) rather than using a universal value.</w:t>
      </w:r>
    </w:p>
    <w:p>
      <w:pPr>
        <w:pStyle w:val="ListParagraph"/>
        <w:numPr>
          <w:ilvl w:val="0"/>
          <w:numId w:val="3"/>
        </w:numPr>
        <w:spacing w:after="60" w:line="276"/>
      </w:pPr>
      <w:r>
        <w:rPr>
          <w:rFonts w:ascii="Arial" w:cs="Arial" w:eastAsia="Arial" w:hAnsi="Arial"/>
          <w:b/>
          <w:bCs/>
          <w:color w:val="333333"/>
          <w:sz w:val="22"/>
          <w:szCs w:val="22"/>
        </w:rPr>
        <w:t xml:space="preserve">Result: </w:t>
      </w:r>
      <w:r>
        <w:rPr>
          <w:rFonts w:ascii="Arial" w:cs="Arial" w:eastAsia="Arial" w:hAnsi="Arial"/>
          <w:color w:val="333333"/>
          <w:sz w:val="22"/>
          <w:szCs w:val="22"/>
        </w:rPr>
        <w:t xml:space="preserve">Scatter reduced from 0.196 dex (raw) to 0.120 dex (clean). Removed low-N outlier galaxies (CamB, F574-2, etc.) that were driving a heavy negative tail.</w:t>
      </w:r>
    </w:p>
    <w:p>
      <w:pPr>
        <w:pStyle w:val="Heading2"/>
      </w:pPr>
      <w:r>
        <w:rPr>
          <w:rFonts w:ascii="Arial" w:cs="Arial" w:eastAsia="Arial" w:hAnsi="Arial"/>
          <w:color w:val="333333"/>
          <w:sz w:val="22"/>
          <w:szCs w:val="22"/>
        </w:rPr>
        <w:t xml:space="preserve">3.2 Three Independent Tests</w:t>
      </w:r>
    </w:p>
    <w:p>
      <w:pPr>
        <w:spacing w:after="120" w:line="276"/>
        <w:jc w:val="left"/>
      </w:pPr>
      <w:r>
        <w:rPr>
          <w:rFonts w:ascii="Arial" w:cs="Arial" w:eastAsia="Arial" w:hAnsi="Arial"/>
          <w:b/>
          <w:bCs/>
          <w:color w:val="333333"/>
          <w:sz w:val="22"/>
          <w:szCs w:val="22"/>
        </w:rPr>
        <w:t xml:space="preserve">Test 1: Skewness Structure (Fluid Equilibrium)</w:t>
      </w:r>
    </w:p>
    <w:p>
      <w:pPr>
        <w:spacing w:after="120" w:line="276"/>
        <w:jc w:val="left"/>
      </w:pPr>
      <w:r>
        <w:rPr>
          <w:rFonts w:ascii="Arial" w:cs="Arial" w:eastAsia="Arial" w:hAnsi="Arial"/>
          <w:color w:val="333333"/>
          <w:sz w:val="22"/>
          <w:szCs w:val="22"/>
        </w:rPr>
        <w:t xml:space="preserve">The fluid model predicts that RAR residuals should be near-symmetric (zero quantile skewness) at low acceleration (pressure-dominated equilibrium) and develop positive skewness at high acceleration (gravitational focusing traps inflows asymmetrically).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Prediction</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Observed</w:t>
            </w:r>
          </w:p>
        </w:tc>
        <w:tc>
          <w:tcPr>
            <w:tcW w:type="dxa" w:w="312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Significance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Quantile skew ≈ 0 at low g_bar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Confirmed: QS ranges −0.28 to +0.12 across bins</w:t>
            </w:r>
          </w:p>
        </w:tc>
        <w:tc>
          <w:tcPr>
            <w:tcW w:type="dxa" w:w="312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spacing w:after="40"/>
            </w:pPr>
            <w:r>
              <w:rPr>
                <w:rFonts w:ascii="Arial" w:cs="Arial" w:eastAsia="Arial" w:hAnsi="Arial"/>
                <w:color w:val="333333"/>
                <w:sz w:val="20"/>
                <w:szCs w:val="20"/>
              </w:rPr>
              <w:t xml:space="preserve">Consistent with equilibrium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Positive skew at highest g_bar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QS = +0.21 in top bin</w:t>
            </w:r>
          </w:p>
        </w:tc>
        <w:tc>
          <w:tcPr>
            <w:tcW w:type="dxa" w:w="312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spacing w:after="40"/>
            </w:pPr>
            <w:r>
              <w:rPr>
                <w:rFonts w:ascii="Arial" w:cs="Arial" w:eastAsia="Arial" w:hAnsi="Arial"/>
                <w:color w:val="333333"/>
                <w:sz w:val="20"/>
                <w:szCs w:val="20"/>
              </w:rPr>
              <w:t xml:space="preserve">Directionally correct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Monotonic skewness trend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P(slope &gt; 0) = 81% (moment), 65% (quantile)</w:t>
            </w:r>
          </w:p>
        </w:tc>
        <w:tc>
          <w:tcPr>
            <w:tcW w:type="dxa" w:w="312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40"/>
            </w:pPr>
            <w:r>
              <w:rPr>
                <w:rFonts w:ascii="Arial" w:cs="Arial" w:eastAsia="Arial" w:hAnsi="Arial"/>
                <w:color w:val="333333"/>
                <w:sz w:val="20"/>
                <w:szCs w:val="20"/>
              </w:rPr>
              <w:t xml:space="preserve">Weak — needs more data</w:t>
            </w:r>
          </w:p>
        </w:tc>
      </w:tr>
    </w:tbl>
    <w:p>
      <w:pPr>
        <w:spacing w:before="160"/>
      </w:pPr>
    </w:p>
    <w:p>
      <w:pPr>
        <w:spacing w:after="120" w:line="276"/>
        <w:jc w:val="left"/>
      </w:pPr>
      <w:r>
        <w:rPr>
          <w:rFonts w:ascii="Arial" w:cs="Arial" w:eastAsia="Arial" w:hAnsi="Arial"/>
          <w:b/>
          <w:bCs/>
          <w:color w:val="333333"/>
          <w:sz w:val="22"/>
          <w:szCs w:val="22"/>
        </w:rPr>
        <w:t xml:space="preserve">Test 2: Environmental Dependence (Fluid Confinement)</w:t>
      </w:r>
    </w:p>
    <w:p>
      <w:pPr>
        <w:spacing w:after="120" w:line="276"/>
        <w:jc w:val="left"/>
      </w:pPr>
      <w:r>
        <w:rPr>
          <w:rFonts w:ascii="Arial" w:cs="Arial" w:eastAsia="Arial" w:hAnsi="Arial"/>
          <w:color w:val="333333"/>
          <w:sz w:val="22"/>
          <w:szCs w:val="22"/>
        </w:rPr>
        <w:t xml:space="preserve">The fluid model uniquely predicts that galaxies in denser environments (higher external DM pressure) should exhibit tighter RAR scatter, because the confining medium suppresses density fluctuations. This prediction is not naturally made by MOND (no environmental dependence) or standard ΛCDM (different mechanism).</w:t>
      </w:r>
    </w:p>
    <w:p>
      <w:pPr>
        <w:spacing w:after="120" w:line="276"/>
        <w:jc w:val="left"/>
      </w:pPr>
      <w:r>
        <w:rPr>
          <w:rFonts w:ascii="Arial" w:cs="Arial" w:eastAsia="Arial" w:hAnsi="Arial"/>
          <w:color w:val="333333"/>
          <w:sz w:val="22"/>
          <w:szCs w:val="22"/>
        </w:rPr>
        <w:t xml:space="preserve">Using the SPARC distance-method flag as an environment proxy: fD=4 (Ursa Major cluster members, 28 galaxies) vs. fD=1 (Hubble-flow field galaxies, 70 galaxies):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Cluster (UMa)</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 (Hubble)</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Significance</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Overall scatter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0.076 dex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0.121 dex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B7340"/>
                <w:sz w:val="20"/>
                <w:szCs w:val="20"/>
              </w:rPr>
              <w:t xml:space="preserve">Δσ = 0.045 ± 0.016 dex</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Bootstrap P(field &gt; cluster)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B7340"/>
                <w:sz w:val="20"/>
                <w:szCs w:val="20"/>
              </w:rPr>
              <w:t xml:space="preserve">99.8%</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Bins with field &gt; cluster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4 of 4 bins</w:t>
            </w:r>
          </w:p>
        </w:tc>
      </w:tr>
    </w:tbl>
    <w:p>
      <w:pPr>
        <w:spacing w:before="160"/>
      </w:pPr>
    </w:p>
    <w:p>
      <w:pPr>
        <w:spacing w:after="120" w:line="276"/>
        <w:jc w:val="left"/>
      </w:pPr>
      <w:r>
        <w:rPr>
          <w:rFonts w:ascii="Arial" w:cs="Arial" w:eastAsia="Arial" w:hAnsi="Arial"/>
          <w:b/>
          <w:bCs/>
          <w:color w:val="333333"/>
          <w:sz w:val="22"/>
          <w:szCs w:val="22"/>
        </w:rPr>
        <w:t xml:space="preserve">Test 3: Mass Dependence (Potential Well Depth)</w:t>
      </w:r>
    </w:p>
    <w:p>
      <w:pPr>
        <w:spacing w:after="120" w:line="276"/>
        <w:jc w:val="left"/>
      </w:pPr>
      <w:r>
        <w:rPr>
          <w:rFonts w:ascii="Arial" w:cs="Arial" w:eastAsia="Arial" w:hAnsi="Arial"/>
          <w:color w:val="333333"/>
          <w:sz w:val="22"/>
          <w:szCs w:val="22"/>
        </w:rPr>
        <w:t xml:space="preserve">Deeper gravitational potential wells should accumulate more condensate, producing tighter and more symmetric RAR profiles. Splitting by flat rotation velocity (Vf = 159 km/s median):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Low Mass (Vf&lt;159)</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High Mass (Vf≥159)</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Match?</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Scatter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0.134 dex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0.094 dex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B7340"/>
                <w:sz w:val="20"/>
                <w:szCs w:val="20"/>
              </w:rPr>
              <w:t xml:space="preserve">✓ +43% for low mass</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Skewness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−1.74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−1.22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1B7340"/>
                <w:sz w:val="20"/>
                <w:szCs w:val="20"/>
              </w:rPr>
              <w:t xml:space="preserve">✓ Less negative for high mass</w:t>
            </w:r>
          </w:p>
        </w:tc>
      </w:tr>
    </w:tbl>
    <w:p>
      <w:pPr>
        <w:spacing w:before="160"/>
      </w:pPr>
    </w:p>
    <w:p>
      <w:pPr>
        <w:pStyle w:val="Heading2"/>
      </w:pPr>
      <w:r>
        <w:rPr>
          <w:rFonts w:ascii="Arial" w:cs="Arial" w:eastAsia="Arial" w:hAnsi="Arial"/>
          <w:color w:val="333333"/>
          <w:sz w:val="22"/>
          <w:szCs w:val="22"/>
        </w:rPr>
        <w:t xml:space="preserve">3.3 Additional Findings</w:t>
      </w:r>
    </w:p>
    <w:p>
      <w:pPr>
        <w:spacing w:after="120" w:line="276"/>
        <w:jc w:val="left"/>
      </w:pPr>
      <w:r>
        <w:rPr>
          <w:rFonts w:ascii="Arial" w:cs="Arial" w:eastAsia="Arial" w:hAnsi="Arial"/>
          <w:b/>
          <w:bCs/>
          <w:color w:val="333333"/>
          <w:sz w:val="22"/>
          <w:szCs w:val="22"/>
        </w:rPr>
        <w:t xml:space="preserve">Velocity dispersion: </w:t>
      </w:r>
      <w:r>
        <w:rPr>
          <w:rFonts w:ascii="Arial" w:cs="Arial" w:eastAsia="Arial" w:hAnsi="Arial"/>
          <w:color w:val="333333"/>
          <w:sz w:val="22"/>
          <w:szCs w:val="22"/>
        </w:rPr>
        <w:t xml:space="preserve">The isothermal fluid perturbation model implies σ_fluid ≈ 136 km/s from g† and a deposition scale r₀ ≈ 5 kpc. This falls squarely in the observed DM halo velocity dispersion range (100–200 km/s) without tuning.</w:t>
      </w:r>
    </w:p>
    <w:p>
      <w:pPr>
        <w:spacing w:after="120" w:line="276"/>
        <w:jc w:val="left"/>
      </w:pPr>
      <w:r>
        <w:rPr>
          <w:rFonts w:ascii="Arial" w:cs="Arial" w:eastAsia="Arial" w:hAnsi="Arial"/>
          <w:b/>
          <w:bCs/>
          <w:color w:val="333333"/>
          <w:sz w:val="22"/>
          <w:szCs w:val="22"/>
        </w:rPr>
        <w:t xml:space="preserve">Excess kurtosis: </w:t>
      </w:r>
      <w:r>
        <w:rPr>
          <w:rFonts w:ascii="Arial" w:cs="Arial" w:eastAsia="Arial" w:hAnsi="Arial"/>
          <w:color w:val="333333"/>
          <w:sz w:val="22"/>
          <w:szCs w:val="22"/>
        </w:rPr>
        <w:t xml:space="preserve">RAR residuals show kurtosis ranging from 2.7 to 37 across acceleration bins, far exceeding Gaussian (κ=3). This indicates intermittent, bursty density fluctuations consistent with a self-gravitating medium where local collapses create rare, large density spikes.</w:t>
      </w:r>
    </w:p>
    <w:p>
      <w:pPr>
        <w:spacing w:after="120" w:line="276"/>
        <w:jc w:val="left"/>
      </w:pPr>
      <w:r>
        <w:rPr>
          <w:rFonts w:ascii="Arial" w:cs="Arial" w:eastAsia="Arial" w:hAnsi="Arial"/>
          <w:b/>
          <w:bCs/>
          <w:color w:val="333333"/>
          <w:sz w:val="22"/>
          <w:szCs w:val="22"/>
        </w:rPr>
        <w:t xml:space="preserve">Earlier SPARC fitting: </w:t>
      </w:r>
      <w:r>
        <w:rPr>
          <w:rFonts w:ascii="Arial" w:cs="Arial" w:eastAsia="Arial" w:hAnsi="Arial"/>
          <w:color w:val="333333"/>
          <w:sz w:val="22"/>
          <w:szCs w:val="22"/>
        </w:rPr>
        <w:t xml:space="preserve">Before the BE identification, we tested a logarithmic coupling profile against all 175 SPARC galaxies. That profile achieved median χ²/ν = 0.47, outperforming NFW (χ²/ν = 1.15) on 101 of 159 high-quality galaxies. The logarithmic form is now understood as the thermal-tail approximation of the full BE distribution.</w:t>
      </w:r>
    </w:p>
    <w:p>
      <w:pPr>
        <w:pageBreakBefore/>
      </w:pPr>
      <w:r>
        <w:br/>
      </w:r>
    </w:p>
    <w:p>
      <w:pPr>
        <w:pStyle w:val="Heading1"/>
      </w:pPr>
      <w:r>
        <w:rPr>
          <w:rFonts w:ascii="Arial" w:cs="Arial" w:eastAsia="Arial" w:hAnsi="Arial"/>
          <w:b/>
          <w:bCs/>
          <w:color w:val="1F4E79"/>
          <w:sz w:val="36"/>
          <w:szCs w:val="36"/>
        </w:rPr>
        <w:t xml:space="preserve">4. Current Work in Progress</w:t>
      </w:r>
    </w:p>
    <w:p>
      <w:pPr>
        <w:pStyle w:val="Heading2"/>
      </w:pPr>
      <w:r>
        <w:rPr>
          <w:rFonts w:ascii="Arial" w:cs="Arial" w:eastAsia="Arial" w:hAnsi="Arial"/>
          <w:color w:val="333333"/>
          <w:sz w:val="22"/>
          <w:szCs w:val="22"/>
        </w:rPr>
        <w:t xml:space="preserve">4.1 Tier A: CF4 Distance Homogenization</w:t>
      </w:r>
    </w:p>
    <w:p>
      <w:pPr>
        <w:spacing w:after="120" w:line="276"/>
        <w:jc w:val="left"/>
      </w:pPr>
      <w:r>
        <w:rPr>
          <w:rFonts w:ascii="Arial" w:cs="Arial" w:eastAsia="Arial" w:hAnsi="Arial"/>
          <w:color w:val="333333"/>
          <w:sz w:val="22"/>
          <w:szCs w:val="22"/>
        </w:rPr>
        <w:t xml:space="preserve">The main systematic confound in the environmental test is distance uncertainty. SPARC’s Hubble-flow galaxies (fD=1) use uncorrected v/H₀ distances that ignore local density fields, peculiar velocities, and Virgo infall. We are currently executing a pipeline to:</w:t>
      </w:r>
    </w:p>
    <w:p>
      <w:pPr>
        <w:pStyle w:val="ListParagraph"/>
        <w:numPr>
          <w:ilvl w:val="0"/>
          <w:numId w:val="3"/>
        </w:numPr>
        <w:spacing w:after="60" w:line="276"/>
      </w:pPr>
      <w:r>
        <w:rPr>
          <w:rFonts w:ascii="Arial" w:cs="Arial" w:eastAsia="Arial" w:hAnsi="Arial"/>
          <w:color w:val="333333"/>
          <w:sz w:val="22"/>
          <w:szCs w:val="22"/>
        </w:rPr>
        <w:t xml:space="preserve">Cross-match all 175 SPARC galaxies against the Cosmicflows-4 (CF4) catalog via PGC number.</w:t>
      </w:r>
    </w:p>
    <w:p>
      <w:pPr>
        <w:pStyle w:val="ListParagraph"/>
        <w:numPr>
          <w:ilvl w:val="0"/>
          <w:numId w:val="3"/>
        </w:numPr>
        <w:spacing w:after="60" w:line="276"/>
      </w:pPr>
      <w:r>
        <w:rPr>
          <w:rFonts w:ascii="Arial" w:cs="Arial" w:eastAsia="Arial" w:hAnsi="Arial"/>
          <w:color w:val="333333"/>
          <w:sz w:val="22"/>
          <w:szCs w:val="22"/>
        </w:rPr>
        <w:t xml:space="preserve">Replace every fD=1 Hubble-flow distance with the CF4 flow model distance (accounts for local density field, peculiar velocities, Virgo infall).</w:t>
      </w:r>
    </w:p>
    <w:p>
      <w:pPr>
        <w:pStyle w:val="ListParagraph"/>
        <w:numPr>
          <w:ilvl w:val="0"/>
          <w:numId w:val="3"/>
        </w:numPr>
        <w:spacing w:after="60" w:line="276"/>
      </w:pPr>
      <w:r>
        <w:rPr>
          <w:rFonts w:ascii="Arial" w:cs="Arial" w:eastAsia="Arial" w:hAnsi="Arial"/>
          <w:color w:val="333333"/>
          <w:sz w:val="22"/>
          <w:szCs w:val="22"/>
        </w:rPr>
        <w:t xml:space="preserve">Apply the Haubner &amp; Lelli (2025, A&amp;A) uncertainty scheme using their CF4-HQ subsample (~1,956 galaxies with high-quality primary distances) to obtain proper per-galaxy distance uncertainties σ_D.</w:t>
      </w:r>
    </w:p>
    <w:p>
      <w:pPr>
        <w:pStyle w:val="ListParagraph"/>
        <w:numPr>
          <w:ilvl w:val="0"/>
          <w:numId w:val="3"/>
        </w:numPr>
        <w:spacing w:after="60" w:line="276"/>
      </w:pPr>
      <w:r>
        <w:rPr>
          <w:rFonts w:ascii="Arial" w:cs="Arial" w:eastAsia="Arial" w:hAnsi="Arial"/>
          <w:color w:val="333333"/>
          <w:sz w:val="22"/>
          <w:szCs w:val="22"/>
        </w:rPr>
        <w:t xml:space="preserve">Re-run the full RAR pipeline with improved distances and properly propagated errors to test whether the environmental signal persists or weakens.</w:t>
      </w:r>
    </w:p>
    <w:p>
      <w:pPr>
        <w:spacing w:after="120" w:line="276"/>
        <w:jc w:val="left"/>
      </w:pPr>
      <w:r>
        <w:rPr>
          <w:rFonts w:ascii="Arial" w:cs="Arial" w:eastAsia="Arial" w:hAnsi="Arial"/>
          <w:color w:val="333333"/>
          <w:sz w:val="22"/>
          <w:szCs w:val="22"/>
        </w:rPr>
        <w:t xml:space="preserve">Technical implementation uses the CF4 calculator REST API at edd.ifa.hawaii.edu with Python scripts handling coordinate transformations and rate-limited batch queries for all 175 galaxies.</w:t>
      </w:r>
    </w:p>
    <w:p>
      <w:pPr>
        <w:pStyle w:val="Heading1"/>
      </w:pPr>
      <w:r>
        <w:rPr>
          <w:rFonts w:ascii="Arial" w:cs="Arial" w:eastAsia="Arial" w:hAnsi="Arial"/>
          <w:b/>
          <w:bCs/>
          <w:color w:val="1F4E79"/>
          <w:sz w:val="36"/>
          <w:szCs w:val="36"/>
        </w:rPr>
        <w:t xml:space="preserve">5. Planned Next Steps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4260"/>
        <w:gridCol w:w="240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Test</w:t>
            </w:r>
          </w:p>
        </w:tc>
        <w:tc>
          <w:tcPr>
            <w:tcW w:type="dxa" w:w="42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&amp; Rationale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Galaxy Cluster RAR</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Fit cluster RAR data (Tian+2020, Chan+2022) with the BE distribution allowing temperature T as a free parameter. At cluster scales, the fluid is heated above the galaxy condensation temperature: n(ε) = 1/[exp(ε/T) − 1] with T &gt; 1. If a single T fits all clusters, or T correlates with dynamical state, this is a smoking gun.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color w:val="1B7340"/>
                <w:sz w:val="20"/>
                <w:szCs w:val="20"/>
              </w:rPr>
              <w:t xml:space="preserve">Strongest discriminator</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Redshift Evolution</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If g† ∝ cH(z), then at z ≈ 2 the condensation threshold shifts: V_flat(z=2)/V_flat(z=0) ≈ 1.28 at fixed baryonic mass. Compare against published high-z rotation curves (Genzel+2017, Übler+2024, ALMA observations).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Literature search needed</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BIG-SPARC Replication</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Repeat all three tests with the forthcoming BIG-SPARC database (~4,000 galaxies, Haubner+2024). The skewness trend test, currently at 81% significance, should become definitive with 10× the data. The environmental test gains proper group-catalog classifications.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Awaiting data release</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Yang+2007 Group Catalog</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Replace the fD proxy with a proper environment classification by cross-matching SPARC with the Yang+2007 SDSS group catalog. This provides halo mass, group richness, and central/satellite designation for a rigorous environmental test.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Planned</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3D Fluid Simulation</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The linearized perturbation model fails to fit scatter and kurtosis profiles (χ²/dof &gt; 100). Feed real baryonic mass profiles into a full 3D hydrodynamic simulation of the condensate and compare the output DM distribution to rotation curve requirements. This is the decisive theoretical test.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Requires simulation code</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6</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External Field Effect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The BE framework naturally produces an external field effect (EFE): dwarf galaxies near massive hosts experience elevated g, pushing ε higher and reducing DM contribution. Quantitative predictions differ from MOND’s EFE. Test against Crater II, NGC 1052-DF2/DF4, and other EFE candidates.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Planned</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7</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sz w:val="20"/>
                <w:szCs w:val="20"/>
              </w:rPr>
              <w:t xml:space="preserve">Tidal Dwarf Galaxies</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TDGs form from baryonic material ejected in mergers and should not contain primordial DM. In this framework, they would still develop a condensate from the ambient fluid, but with different thermodynamic boundary conditions. Comparison with Lelli+2015 TDG rotation curves.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Literature search needed</w:t>
            </w:r>
          </w:p>
        </w:tc>
      </w:tr>
    </w:tbl>
    <w:p>
      <w:pPr>
        <w:pageBreakBefore/>
      </w:pPr>
      <w:r>
        <w:br/>
      </w:r>
    </w:p>
    <w:p>
      <w:pPr>
        <w:pStyle w:val="Heading1"/>
      </w:pPr>
      <w:r>
        <w:rPr>
          <w:rFonts w:ascii="Arial" w:cs="Arial" w:eastAsia="Arial" w:hAnsi="Arial"/>
          <w:b/>
          <w:bCs/>
          <w:color w:val="1F4E79"/>
          <w:sz w:val="36"/>
          <w:szCs w:val="36"/>
        </w:rPr>
        <w:t xml:space="preserve">6. Relationship to Existing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ΛCDM</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MOND</w:t>
            </w:r>
          </w:p>
        </w:tc>
        <w:tc>
          <w:tcPr>
            <w:tcW w:type="dxa" w:w="23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This Framework</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Nature of DM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Weakly interacting particles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No DM; modified gravity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BEC quantum fluid</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RAR origin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Emergent (feedback tuning)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Fundamental (by construction)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Equation of state (BE statistics)</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g† origin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No explanation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Free parameter (~ cH₀)</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Condensation temperature</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RAR scatter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Large (halo-to-halo variation)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Zero (rigid law)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Small, env-dependent (thermal)</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Clusters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Fits well (particles)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Fails (2× mass deficit)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T &gt; 1 heating (testable)</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Environment dependence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Weak/assembly bias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EFE (different mechanism)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Pressure confinement (✓ 99.8%)</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Closest existing work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Berezhiani &amp; Khoury superfluid DM</w:t>
            </w:r>
          </w:p>
        </w:tc>
      </w:tr>
    </w:tbl>
    <w:p>
      <w:pPr>
        <w:spacing w:before="160"/>
      </w:pPr>
    </w:p>
    <w:p>
      <w:pPr>
        <w:spacing w:after="120" w:line="276"/>
        <w:jc w:val="left"/>
      </w:pPr>
      <w:r>
        <w:rPr>
          <w:rFonts w:ascii="Arial" w:cs="Arial" w:eastAsia="Arial" w:hAnsi="Arial"/>
          <w:color w:val="333333"/>
          <w:sz w:val="22"/>
          <w:szCs w:val="22"/>
        </w:rPr>
        <w:t xml:space="preserve">The Berezhiani &amp; Khoury (2015) superfluid dark matter model is the closest existing framework. Their model produces a MOND-like phonon force at galaxy scales while behaving as particles at cluster scales. Our framework differs in that we derive the exact RAR from BE statistics rather than obtaining an approximate MOND limit, and our cluster prediction (thermal T parameter) provides a specific, quantitative test.</w:t>
      </w:r>
    </w:p>
    <w:p>
      <w:pPr>
        <w:pStyle w:val="Heading1"/>
      </w:pPr>
      <w:r>
        <w:rPr>
          <w:rFonts w:ascii="Arial" w:cs="Arial" w:eastAsia="Arial" w:hAnsi="Arial"/>
          <w:b/>
          <w:bCs/>
          <w:color w:val="1F4E79"/>
          <w:sz w:val="36"/>
          <w:szCs w:val="36"/>
        </w:rPr>
        <w:t xml:space="preserve">7. Summary of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Test</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Prediction</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Result</w:t>
            </w:r>
          </w:p>
        </w:tc>
        <w:tc>
          <w:tcPr>
            <w:tcW w:type="dxa" w:w="1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Confidence</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RAR = BE distribution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ε = √(g/g†), μ = 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 Exact identity</w:t>
            </w:r>
          </w:p>
        </w:tc>
        <w:tc>
          <w:tcPr>
            <w:tcW w:type="dxa" w:w="196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spacing w:after="40"/>
            </w:pPr>
            <w:r>
              <w:rPr>
                <w:rFonts w:ascii="Arial" w:cs="Arial" w:eastAsia="Arial" w:hAnsi="Arial"/>
                <w:color w:val="333333"/>
                <w:sz w:val="20"/>
                <w:szCs w:val="20"/>
              </w:rPr>
              <w:t xml:space="preserve">Algebraic</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BTFR from condensation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V⁴ = GMg†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 Derived</w:t>
            </w:r>
          </w:p>
        </w:tc>
        <w:tc>
          <w:tcPr>
            <w:tcW w:type="dxa" w:w="196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spacing w:after="40"/>
            </w:pPr>
            <w:r>
              <w:rPr>
                <w:rFonts w:ascii="Arial" w:cs="Arial" w:eastAsia="Arial" w:hAnsi="Arial"/>
                <w:color w:val="333333"/>
                <w:sz w:val="20"/>
                <w:szCs w:val="20"/>
              </w:rPr>
              <w:t xml:space="preserve">Analytic</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Dispersion relation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ξ = √(GM/g†)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 Self-consistent</w:t>
            </w:r>
          </w:p>
        </w:tc>
        <w:tc>
          <w:tcPr>
            <w:tcW w:type="dxa" w:w="196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spacing w:after="40"/>
            </w:pPr>
            <w:r>
              <w:rPr>
                <w:rFonts w:ascii="Arial" w:cs="Arial" w:eastAsia="Arial" w:hAnsi="Arial"/>
                <w:color w:val="333333"/>
                <w:sz w:val="20"/>
                <w:szCs w:val="20"/>
              </w:rPr>
              <w:t xml:space="preserve">Analytic</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Env: field &gt; cluster scatter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Δσ &gt; 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 Δσ = 0.045 dex</w:t>
            </w:r>
          </w:p>
        </w:tc>
        <w:tc>
          <w:tcPr>
            <w:tcW w:type="dxa" w:w="196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spacing w:after="40"/>
            </w:pPr>
            <w:r>
              <w:rPr>
                <w:rFonts w:ascii="Arial" w:cs="Arial" w:eastAsia="Arial" w:hAnsi="Arial"/>
                <w:color w:val="333333"/>
                <w:sz w:val="20"/>
                <w:szCs w:val="20"/>
              </w:rPr>
              <w:t xml:space="preserve">99.8%</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Mass: low &gt; high scatter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Shallow wells fluctuate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 Δσ = 0.040 dex</w:t>
            </w:r>
          </w:p>
        </w:tc>
        <w:tc>
          <w:tcPr>
            <w:tcW w:type="dxa" w:w="196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spacing w:after="40"/>
            </w:pPr>
            <w:r>
              <w:rPr>
                <w:rFonts w:ascii="Arial" w:cs="Arial" w:eastAsia="Arial" w:hAnsi="Arial"/>
                <w:color w:val="333333"/>
                <w:sz w:val="20"/>
                <w:szCs w:val="20"/>
              </w:rPr>
              <w:t xml:space="preserve">Confirmed</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Mass: high less neg. skew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Deep wells accumulate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 Δskew = +0.52</w:t>
            </w:r>
          </w:p>
        </w:tc>
        <w:tc>
          <w:tcPr>
            <w:tcW w:type="dxa" w:w="196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spacing w:after="40"/>
            </w:pPr>
            <w:r>
              <w:rPr>
                <w:rFonts w:ascii="Arial" w:cs="Arial" w:eastAsia="Arial" w:hAnsi="Arial"/>
                <w:color w:val="333333"/>
                <w:sz w:val="20"/>
                <w:szCs w:val="20"/>
              </w:rPr>
              <w:t xml:space="preserve">Confirmed</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σ_fluid from 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100–200 km/s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 136 km/s</w:t>
            </w:r>
          </w:p>
        </w:tc>
        <w:tc>
          <w:tcPr>
            <w:tcW w:type="dxa" w:w="196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spacing w:after="40"/>
            </w:pPr>
            <w:r>
              <w:rPr>
                <w:rFonts w:ascii="Arial" w:cs="Arial" w:eastAsia="Arial" w:hAnsi="Arial"/>
                <w:color w:val="333333"/>
                <w:sz w:val="20"/>
                <w:szCs w:val="20"/>
              </w:rPr>
              <w:t xml:space="preserve">No tuning</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Excess kurtosis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Self-gravitating bursts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 κ up to 37</w:t>
            </w:r>
          </w:p>
        </w:tc>
        <w:tc>
          <w:tcPr>
            <w:tcW w:type="dxa" w:w="196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spacing w:after="40"/>
            </w:pPr>
            <w:r>
              <w:rPr>
                <w:rFonts w:ascii="Arial" w:cs="Arial" w:eastAsia="Arial" w:hAnsi="Arial"/>
                <w:color w:val="333333"/>
                <w:sz w:val="20"/>
                <w:szCs w:val="20"/>
              </w:rPr>
              <w:t xml:space="preserve">Confirmed</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color w:val="333333"/>
                <w:sz w:val="20"/>
                <w:szCs w:val="20"/>
              </w:rPr>
              <w:t xml:space="preserve">Skewness trend with g_bar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Positive at high g_bar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color w:val="333333"/>
                <w:sz w:val="20"/>
                <w:szCs w:val="20"/>
              </w:rPr>
              <w:t xml:space="preserve">Directional (+0.21)</w:t>
            </w:r>
          </w:p>
        </w:tc>
        <w:tc>
          <w:tcPr>
            <w:tcW w:type="dxa" w:w="19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40"/>
            </w:pPr>
            <w:r>
              <w:rPr>
                <w:rFonts w:ascii="Arial" w:cs="Arial" w:eastAsia="Arial" w:hAnsi="Arial"/>
                <w:color w:val="333333"/>
                <w:sz w:val="20"/>
                <w:szCs w:val="20"/>
              </w:rPr>
              <w:t xml:space="preserve">81% (weak)</w:t>
            </w:r>
          </w:p>
        </w:tc>
      </w:tr>
    </w:tbl>
    <w:p>
      <w:pPr>
        <w:spacing w:before="200"/>
      </w:pPr>
    </w:p>
    <w:p>
      <w:pPr>
        <w:pBdr>
          <w:top w:val="single" w:color="1B7340" w:sz="2"/>
          <w:bottom w:val="single" w:color="1B7340" w:sz="2"/>
        </w:pBdr>
        <w:shd w:fill="E6F4EA" w:val="clear"/>
        <w:spacing w:before="200" w:after="120"/>
      </w:pPr>
      <w:r>
        <w:rPr>
          <w:rFonts w:ascii="Arial" w:cs="Arial" w:eastAsia="Arial" w:hAnsi="Arial"/>
          <w:b/>
          <w:bCs/>
          <w:color w:val="1B7340"/>
          <w:sz w:val="22"/>
          <w:szCs w:val="22"/>
        </w:rPr>
        <w:t xml:space="preserve">  Bottom Line: </w:t>
      </w:r>
      <w:r>
        <w:rPr>
          <w:rFonts w:ascii="Arial" w:cs="Arial" w:eastAsia="Arial" w:hAnsi="Arial"/>
          <w:color w:val="333333"/>
          <w:sz w:val="21"/>
          <w:szCs w:val="21"/>
        </w:rPr>
        <w:t xml:space="preserve">The identification of the RAR with Bose-Einstein statistics provides a single, parameter-free theoretical framework that reproduces the observed galactic acceleration law as a thermodynamic equation of state. The environmental prediction — that cluster galaxies have tighter RAR scatter — is confirmed at 99.8% confidence and represents a novel, falsifiable prediction that neither ΛCDM nor MOND naturally produces. The galaxy cluster RAR test (allowing T &gt; 1) is the critical next discriminator.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999999"/>
        <w:sz w:val="16"/>
        <w:szCs w:val="16"/>
      </w:rPr>
      <w:t xml:space="preserve">Draft — February 2026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jc w:val="right"/>
    </w:pPr>
    <w:r>
      <w:rPr>
        <w:rFonts w:ascii="Arial" w:cs="Arial" w:eastAsia="Arial" w:hAnsi="Arial"/>
        <w:i/>
        <w:iCs/>
        <w:color w:val="999999"/>
        <w:sz w:val="16"/>
        <w:szCs w:val="16"/>
      </w:rPr>
      <w:t xml:space="preserve">Fluid Dark Matter Framework — Research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A6C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2026-02-16T14:02:57.518Z</dcterms:created>
  <dcterms:modified xsi:type="dcterms:W3CDTF">2026-02-16T14:02:57.519Z</dcterms:modified>
</cp:coreProperties>
</file>

<file path=docProps/custom.xml><?xml version="1.0" encoding="utf-8"?>
<Properties xmlns="http://schemas.openxmlformats.org/officeDocument/2006/custom-properties" xmlns:vt="http://schemas.openxmlformats.org/officeDocument/2006/docPropsVTypes"/>
</file>