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¿Quién soy?</w:t>
      </w:r>
    </w:p>
    <w:p>
      <w:pPr>
        <w:pStyle w:val="Normal"/>
      </w:pPr>
      <w:r>
        <w:t>Una hormiga al arrimarse a un hilo de agua, ve su imagen reflejada: las manos que terminan en gancho, sus fauces y se pregunta:</w:t>
      </w:r>
    </w:p>
    <w:p>
      <w:pPr>
        <w:pStyle w:val="Normal"/>
      </w:pPr>
      <w:r>
        <w:t>¿Quién soy?</w:t>
      </w:r>
    </w:p>
    <w:p>
      <w:pPr>
        <w:pStyle w:val="Normal"/>
      </w:pPr>
      <w:r>
        <w:t xml:space="preserve">No tiene a quien contarle que se ha dado cuenta que es una hormiga. </w:t>
      </w:r>
    </w:p>
    <w:p>
      <w:pPr>
        <w:pStyle w:val="Normal"/>
      </w:pPr>
      <w:r>
        <w:t>Ese día sigue cargando hojas del jardín.</w:t>
      </w:r>
    </w:p>
    <w:p>
      <w:pPr>
        <w:pStyle w:val="Normal"/>
      </w:pPr>
      <w:r>
        <w:t xml:space="preserve">Segundo día: todo transcurre igual, salir al jardín y buscar pedazos de hojas y defenderse si hace falta. </w:t>
      </w:r>
    </w:p>
    <w:p>
      <w:pPr>
        <w:pStyle w:val="Normal"/>
      </w:pPr>
      <w:r>
        <w:t xml:space="preserve">Tercer día: ¿se pregunta qué puede hacer? Si se aleja del hormiguero, ¿de que vivirá? </w:t>
      </w:r>
    </w:p>
    <w:p>
      <w:pPr>
        <w:pStyle w:val="Normal"/>
      </w:pPr>
      <w:r>
        <w:t xml:space="preserve">Cuarto día: Han caído granos de azucar, carga uno y lo lleva a las profundidades, mientras avanza se le ocurre que podría escapar con el cargamento, se desvía y otra hormiga atrás lo sigue, vuelve entonces a la fila. </w:t>
      </w:r>
    </w:p>
    <w:p>
      <w:pPr>
        <w:pStyle w:val="Normal"/>
      </w:pPr>
      <w:r>
        <w:t>Quinto día: Se aleja de la fila de hormigas y ya no vuelve más.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