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100 segundos de soledad -5</w:t>
      </w:r>
    </w:p>
    <w:p>
      <w:pPr>
        <w:pStyle w:val="Normal"/>
      </w:pPr>
      <w:r>
        <w:t>Abrí el libro de García Márquez en el bar del centro comercial. Me sentí observado, todos estaban en pareja o eran grupos conversando animadamente mientras mi ánima maldita era Cien años de soledad y yo solito frente a la diminuta tasa de café.</w:t>
      </w:r>
    </w:p>
    <w:p>
      <w:pPr>
        <w:pStyle w:val="Normal"/>
      </w:pPr>
      <w:r>
        <w:t>Estoy solo y se han dado cuenta, se dan cuenta que leo porque estoy solo, intenté seguir leyendo , eso del pelotón de fusilamiento, y el hielo y los gitanos. Sentí odio y envidia por los acompañados y les dije telepáticamente: yo no estoy solo, mi compañía es Aureliano Buendía mientras ustedes no paran de escrolear y escrolear en una caída infinita de tedio.</w:t>
      </w:r>
    </w:p>
    <w:p>
      <w:pPr>
        <w:pStyle w:val="Normal"/>
      </w:pPr>
      <w:r>
        <w:t xml:space="preserve">Levanté la vista y sentí que nadie me prestaba atención lo que fue aún peor, la ignorancia me convertía en un vacío brutal, en un ninguneo, aunque cuando di vuelta la cabeza, encontré a mis pies una mirada con la lengua afuera de una dálmata que me miraba con simpatía.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