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JÓVÁHAGYÁSI, KÉZBESÍTÉSI ÉS INDÍTÁSI KAPUK</w:t>
      </w:r>
    </w:p>
    <w:p>
      <w:pPr>
        <w:pStyle w:val="Heading1"/>
      </w:pPr>
      <w:r>
        <w:t>Aláírásra küldés előtt</w:t>
      </w:r>
    </w:p>
    <w:p>
      <w:pPr>
        <w:pStyle w:val="ListBullet"/>
      </w:pPr>
      <w:r>
        <w:t>Minden szerződésmező kitöltött; nulla helyőrző vagy üres kötelező mező</w:t>
      </w:r>
    </w:p>
    <w:p>
      <w:pPr>
        <w:pStyle w:val="ListBullet"/>
      </w:pPr>
      <w:r>
        <w:t>Partner- és Imperial-cégadatok, személyes azonosítóadatok, projektcím, helyrajzi szám, nettó–ÁFA–bruttó ár és határidők ellenőrizve</w:t>
      </w:r>
    </w:p>
    <w:p>
      <w:pPr>
        <w:pStyle w:val="ListBullet"/>
      </w:pPr>
      <w:r>
        <w:t>Master SHA-256 egyezés, kötelező mellékletek és jóváhagyások rögzítve</w:t>
      </w:r>
    </w:p>
    <w:p>
      <w:pPr>
        <w:pStyle w:val="Heading1"/>
      </w:pPr>
      <w:r>
        <w:t>Aláírás után – kötelező kettős kézbesítés</w:t>
      </w:r>
    </w:p>
    <w:p>
      <w:pPr>
        <w:pStyle w:val="ListBullet"/>
      </w:pPr>
      <w:r>
        <w:t>Aláírt eredeti példány igazolható postai/futárküldeményként feladva</w:t>
      </w:r>
    </w:p>
    <w:p>
      <w:pPr>
        <w:pStyle w:val="ListBullet"/>
      </w:pPr>
      <w:r>
        <w:t>Nyomkövetési szám és feladási/kézbesítési bizonylat a ContractID-hoz mentve</w:t>
      </w:r>
    </w:p>
    <w:p>
      <w:pPr>
        <w:pStyle w:val="ListBullet"/>
      </w:pPr>
      <w:r>
        <w:t>Azonos aláírt dokumentum elektronikusan is elküldve a partner hivatalos e-mail-címére</w:t>
      </w:r>
    </w:p>
    <w:p>
      <w:pPr>
        <w:pStyle w:val="ListBullet"/>
      </w:pPr>
      <w:r>
        <w:t>E-mail MessageID, címzett, küldési idő és csatolmány SHA-256 rögzítve</w:t>
      </w:r>
    </w:p>
    <w:p>
      <w:pPr>
        <w:pStyle w:val="Heading1"/>
      </w:pPr>
      <w:r>
        <w:t>Munka megkezdése előtt</w:t>
      </w:r>
    </w:p>
    <w:p>
      <w:pPr>
        <w:pStyle w:val="ListBullet"/>
      </w:pPr>
      <w:r>
        <w:t>Mindkét fél által aláírt szerződés és mellékletek visszamentve</w:t>
      </w:r>
    </w:p>
    <w:p>
      <w:pPr>
        <w:pStyle w:val="ListBullet"/>
      </w:pPr>
      <w:r>
        <w:t>Kettős kézbesítési kapu teljesült</w:t>
      </w:r>
    </w:p>
    <w:p>
      <w:pPr>
        <w:pStyle w:val="ListBullet"/>
      </w:pPr>
      <w:r>
        <w:t>WorkStartAllowed =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