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Számla befogadásának elutasítása – MSZ-2026-0002</w:t>
      </w:r>
    </w:p>
    <w:p>
      <w:r>
        <w:t>Tisztelt Minta Szakipari Kft.!</w:t>
      </w:r>
    </w:p>
    <w:p>
      <w:r>
        <w:t>Tájékoztatjuk, hogy a(z) MSZ-2026-0002 sorszámú számlát nem fogadjuk be, azt könyvelésre és kifizetésre nem továbbítjuk. Az elutasítás oka: a számla nem olvasható; a szállító adószáma nem egyezik a szerződéses törzsadattal; a teljesítésigazolás nincs elfogadott állapotban; a teljesítésigazolás megrendelői/jogosult aláírása hiányzik; a számlán feltüntetett esedékesség korábbi a szerződés szerint megengedettnél.</w:t>
      </w:r>
    </w:p>
    <w:p>
      <w:r>
        <w:t>A szerződés szerint számla kizárólag a szerződésszerű teljesítést igazoló, a jogosult személyek által aláírt és elfogadott teljesítésigazolás alapján, a teljesítésigazolással egyező tartalommal és összeggel nyújtható be. A számlának meg kell felelnie az Áfa tv. 168/A. §-ában foglalt hitelességi, sértetlenségi és olvashatósági követelményeknek, valamint az Áfa tv. 169. §-ában meghatározott kötelező adattartalomnak.</w:t>
      </w:r>
    </w:p>
    <w:p>
      <w:r>
        <w:t>Kérjük, a hibás számla tekintetében a szükséges sztornó- vagy módosító bizonylatot állítsák ki, illetve a hiányzó, aláírt és elfogadott teljesítésigazolással együtt a javított számlát új benyújtásként küldjék meg. A számla módosítására szolgáló okiratnak az Áfa tv. 170. §-a szerinti adatokat kell tartalmaznia. A fizetési határidő kizárólag a hibátlan, hiánytalan és befogadott számla rendszerben rögzített befogadási napjától kezdődhet.</w:t>
      </w:r>
    </w:p>
    <w:p>
      <w:r>
        <w:t>Jelen értesítés nem minősül a teljesítés vagy a követelés elismerésének.</w:t>
      </w:r>
    </w:p>
    <w:p>
      <w:r>
        <w:t>Üdvözlettel:</w:t>
        <w:br/>
        <w:t>Imperial Holding</w:t>
      </w:r>
    </w:p>
    <w:p>
      <w:pPr>
        <w:pStyle w:val="Heading1"/>
      </w:pPr>
      <w:r>
        <w:t>Jogszabályi hivatkozások</w:t>
      </w:r>
    </w:p>
    <w:p>
      <w:pPr>
        <w:pStyle w:val="ListBullet"/>
      </w:pPr>
      <w:r>
        <w:t>Áfa tv. 168/A. § (1)–(2): hitelesség, sértetlenség, olvashatóság és megbízható ellenőrzési kapcsolat.</w:t>
      </w:r>
    </w:p>
    <w:p>
      <w:pPr>
        <w:pStyle w:val="ListBullet"/>
      </w:pPr>
      <w:r>
        <w:t>Áfa tv. 169. §: a számla kötelező adattartalma.</w:t>
      </w:r>
    </w:p>
    <w:p>
      <w:pPr>
        <w:pStyle w:val="ListBullet"/>
      </w:pPr>
      <w:r>
        <w:t>Áfa tv. 168. § (2) és 170. §: a számla módosítása számlával egy tekintet alá eső okirattal.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