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1. SZÁMÚ MELLÉKLET – KÖTELEZŐ SZERZŐDÉSES ADATLAP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Mező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Kitöltött érték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Szerződésszám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Szerződés kelte és helye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Budapest, 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CompanyID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COM-AV-2026-0001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PersonID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PER-AV-2026-0001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OpportunityID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OPP-AV-2026-0001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ProjectID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PRJ-AV-2026-0001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PartnerID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PAR-AV-2026-0001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Imperial szerződő cég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Imperial Teszt Megrendelő Kft. (MINTAADAT) (rövid név: Imperial Teszt Kft.; székhely: 1037 Budapest, Teszt köz 1.; cégjegyzékszám/nyilvántartási szám: 01-09-000001; adószám: 10000001-2-41; bankszámlaszám: 11700000-00000001-00000001; képviseli: Minta Imre ügyvezető; e-mail: szerzodes@example.com; telefon: +36 70 000 0001)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Partner / megrendelő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Szakipari Kft. (rövid név: Minta Szakipari Kft.; székhely: 1111 Budapest, Minta utca 1.; cégjegyzékszám/nyilvántartási szám: 01-09-999999; adószám: 12345678-2-41; bankszámlaszám: 11700000-00000002-00000002; képviseli: Minta Márton ügyvezető; e-mail: minta.szakipar@example.com; telefon: +36 30 000 0002)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Projekt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Minta családi ház – vakolási munkák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Helyszín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1111 Budapest, Példa utca 2., 1234/5 hrsz.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Műszaki tartalom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Komplett belső vakolási és kapcsolódó helyreállítási munkák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Kezdés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2026-08-04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Véghatáridő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2026-09-15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Nettó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12500000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ÁFA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27% / 3375000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Bruttó díj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15875000 HUF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Számlafizetési határidő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30 naptári nap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Fizetési szabály döntési alapja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ICG-PAY-2026-07-18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Postai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igazolható mód: registered_return_receipt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Elektronikus kézbesítés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Kötelező, a partner hivatalos e-mail-címére, csatolmány-hash és üzenetazonosító naplózásával</w:t>
            </w:r>
          </w:p>
        </w:tc>
      </w:tr>
      <w:tr>
        <w:trPr>
          <w:cantSplit/>
        </w:trPr>
        <w:tc>
          <w:tcPr>
            <w:tcW w:type="dxa" w:w="7315"/>
          </w:tcPr>
          <w:p>
            <w:r>
              <w:rPr>
                <w:sz w:val="15"/>
              </w:rPr>
              <w:t>Mellékletek</w:t>
            </w:r>
          </w:p>
        </w:tc>
        <w:tc>
          <w:tcPr>
            <w:tcW w:type="dxa" w:w="7315"/>
          </w:tcPr>
          <w:p>
            <w:r>
              <w:rPr>
                <w:sz w:val="15"/>
              </w:rPr>
              <w:t>műszaki tartalom (v1.0, APPROVED); árazott költségvetés (v1.0, APPROVED); ütemterv (v1.0, APPROVED); műszaki megfelelőségi és levonási melléklet (v1.0, APPROVED); számlabefogadási feltételek (v1.0, APPROVED)</w:t>
            </w:r>
          </w:p>
        </w:tc>
      </w:tr>
    </w:tbl>
    <w:p>
      <w:pPr>
        <w:pStyle w:val="Heading1"/>
      </w:pPr>
      <w:r>
        <w:t>Fizetési ütemezés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Mérföldkő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Arány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Esedékességi szabály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Munkaterület átvétele és anyagok beérkezése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20%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TIG és hibátlan számla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50%-os készültség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TIG és hibátlan számla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100%-os készültség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35%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TIG és hibátlan számla alapján</w:t>
            </w:r>
          </w:p>
        </w:tc>
      </w:tr>
      <w:tr>
        <w:trPr>
          <w:cantSplit/>
        </w:trPr>
        <w:tc>
          <w:tcPr>
            <w:tcW w:type="dxa" w:w="4877"/>
          </w:tcPr>
          <w:p>
            <w:r>
              <w:rPr>
                <w:sz w:val="15"/>
              </w:rPr>
              <w:t>Műszaki átadás és dokumentációzárás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10%</w:t>
            </w:r>
          </w:p>
        </w:tc>
        <w:tc>
          <w:tcPr>
            <w:tcW w:type="dxa" w:w="4877"/>
          </w:tcPr>
          <w:p>
            <w:r>
              <w:rPr>
                <w:sz w:val="15"/>
              </w:rPr>
              <w:t>elfogadott vég-TIG és hibátlan számla alapján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