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
          <w:bCs/>
          <w:sz w:val="24"/>
          <w:szCs w:val="24"/>
        </w:rPr>
      </w:pPr>
      <w:r>
        <w:rPr>
          <w:b/>
          <w:bCs/>
          <w:sz w:val="24"/>
          <w:szCs w:val="24"/>
        </w:rPr>
        <w:t>TERVEZÉSI SZERZŐDÉS</w:t>
      </w:r>
    </w:p>
    <w:p>
      <w:pPr>
        <w:pStyle w:val="Normal"/>
        <w:jc w:val="both"/>
        <w:rPr/>
      </w:pPr>
      <w:r>
        <w:rPr>
          <w:color w:val="000000"/>
          <w:sz w:val="21"/>
        </w:rPr>
        <w:t>amely létrejött egyrészről Minta János (születési hely, idő: Budapest, 1980-05-24; anyja neve: Példa Anna; személyazonosító igazolvány száma: 000000AA; lakcím: 2096 Üröm, Minta utca 2.; e-mail: minta.janos@example.com; telefon: +36 30 000 0004), mint Megrendelő,</w:t>
      </w:r>
    </w:p>
    <w:p>
      <w:pPr>
        <w:pStyle w:val="Normal"/>
        <w:jc w:val="both"/>
        <w:rPr>
          <w:sz w:val="22"/>
          <w:szCs w:val="22"/>
        </w:rPr>
      </w:pPr>
      <w:r>
        <w:rPr>
          <w:color w:val="000000"/>
          <w:sz w:val="21"/>
        </w:rPr>
        <w:t>másrészről Imperial Teszt Megrendelő Kft. (MINTAADAT) (rövid név: Imperial Teszt Kft.; székhely: 1037 Budapest, Teszt köz 1.; cégjegyzékszám/nyilvántartási szám: 01-09-000001; adószám: 10000001-2-41; bankszámlaszám: 11700000-00000001-00000001; képviseli: Minta Imre ügyvezető; e-mail: szerzodes@example.com; telefon: +36 70 000 0001), mint Vállalkozó</w:t>
      </w:r>
    </w:p>
    <w:p>
      <w:pPr>
        <w:pStyle w:val="Normal"/>
        <w:jc w:val="both"/>
        <w:rPr/>
      </w:pPr>
      <w:r>
        <w:rPr/>
        <w:t>között a mai napon és helyen az alábbi feltételekkel:</w:t>
      </w:r>
    </w:p>
    <w:p>
      <w:pPr>
        <w:pStyle w:val="Normal"/>
        <w:jc w:val="both"/>
        <w:rPr/>
      </w:pPr>
      <w:r>
        <w:rPr>
          <w:color w:val="000000"/>
          <w:sz w:val="21"/>
        </w:rPr>
        <w:t>1) A Megrendelő megrendeli és Vállalkozó elvállalja a 2468/1 helyrajzi szám alatt, természetben a 2096 Üröm, Minta utca 2. cím alatt található, bruttó 120 m² alapterületű lakóház engedélyezési és teljes kiviteli tervdokumentáció tárgyú építési terveinek elkészítését.</w:t>
      </w:r>
    </w:p>
    <w:p>
      <w:pPr>
        <w:pStyle w:val="Normal"/>
        <w:jc w:val="both"/>
        <w:rPr/>
      </w:pPr>
      <w:r>
        <w:rPr/>
        <w:t>A szerződés egy lakóépületről szól.</w:t>
      </w:r>
    </w:p>
    <w:p>
      <w:pPr>
        <w:pStyle w:val="Normal"/>
        <w:jc w:val="both"/>
        <w:rPr/>
      </w:pPr>
      <w:r>
        <w:rPr/>
        <w:t xml:space="preserve">Megrendelő érvényes tulajdoni lappal igazolja, hogy a fent nevezett ingatlan a birtokában áll, vagy érvényes meghatalmazással a tulajdonostól, hogy a fenti tervezési munkálatokat megrendelni jogosult. Amennyiben a fenti ingatlannak nem tulajdonosa, Vállalkozónak eredeti példányban átadja azt a két tanúval vagy ügyvédi ellenjegyzéssel hitelesített meghatalmazását az ingatlan tulajdonosától, amely kifejezetten felhatalmazza arra, hogy jelen szerződést megkösse, a tervezést megrendelje, és amely magában foglalja, hogy a szerződéses kötelezettségekkel szemben mind saját maga, mind az ingatlan tulajdonosa teljes felelősséget és a teljesítésükre kötelezettséget vállal. </w:t>
      </w:r>
    </w:p>
    <w:p>
      <w:pPr>
        <w:pStyle w:val="Normal"/>
        <w:jc w:val="both"/>
        <w:rPr/>
      </w:pPr>
      <w:r>
        <w:rPr/>
        <w:t>2)</w:t>
        <w:tab/>
        <w:t xml:space="preserve">A jelen szerződésben részletezett szolgáltatások az épület, épületrész, épületegyüttes és a hozzá tartozó építmények (továbbiakban létesítmény) megépítéséhez, átalakításához, bővítéséhez, helyreállításához, felújításához, bontásához szükséges, jogszabályban meghatározott tartalmú műszaki tervdokumentációjának elkészítését tartalmazzák egyszerű bejelentési eljárás követelményeire vonatkozóan. </w:t>
      </w:r>
    </w:p>
    <w:p>
      <w:pPr>
        <w:pStyle w:val="Normal"/>
        <w:jc w:val="both"/>
        <w:rPr/>
      </w:pPr>
      <w:r>
        <w:rPr/>
        <w:t>3)</w:t>
        <w:tab/>
        <w:t xml:space="preserve">Jelen szerződés alapján Vállalkozó elvállalja a fent meghatározott címen létesülő épületek engedélyezési tervdokumentációjának elkészítését az alábbi munkarészekkel: </w:t>
      </w:r>
    </w:p>
    <w:p>
      <w:pPr>
        <w:pStyle w:val="Normal"/>
        <w:ind w:left="708" w:hanging="0"/>
        <w:jc w:val="both"/>
        <w:rPr/>
      </w:pPr>
      <w:r>
        <w:rPr/>
        <w:t>a)</w:t>
        <w:tab/>
        <w:t xml:space="preserve">Teljes építészeti tervdokumentáció összeállítása jogszabályban meghatározott tartalommal az egyszerű bejelentési eljárás követelményeinek megfelelően, beleértve az építész műszaki leírást is </w:t>
      </w:r>
    </w:p>
    <w:p>
      <w:pPr>
        <w:pStyle w:val="Normal"/>
        <w:ind w:left="708" w:hanging="0"/>
        <w:jc w:val="both"/>
        <w:rPr/>
      </w:pPr>
      <w:r>
        <w:rPr/>
        <w:t>b)</w:t>
        <w:tab/>
        <w:t xml:space="preserve">Látványtervek az elkészülő épületről, metszetrajzok az építési engedélyezési eljárás követelményeinek megfelelően </w:t>
      </w:r>
    </w:p>
    <w:p>
      <w:pPr>
        <w:pStyle w:val="Normal"/>
        <w:ind w:left="708" w:hanging="0"/>
        <w:jc w:val="both"/>
        <w:rPr/>
      </w:pPr>
      <w:r>
        <w:rPr/>
        <w:t>c)</w:t>
        <w:tab/>
        <w:t xml:space="preserve">Villamos műszaki leírás az építési engedélyezési eljárás követelményeinek megfelelően </w:t>
      </w:r>
    </w:p>
    <w:p>
      <w:pPr>
        <w:pStyle w:val="Normal"/>
        <w:ind w:left="708" w:hanging="0"/>
        <w:jc w:val="both"/>
        <w:rPr/>
      </w:pPr>
      <w:r>
        <w:rPr/>
        <w:t>d)</w:t>
        <w:tab/>
        <w:t xml:space="preserve">Gépészeti műszaki leírás az építési engedélyezési eljárás követelményeinek megfelelően </w:t>
      </w:r>
    </w:p>
    <w:p>
      <w:pPr>
        <w:pStyle w:val="Normal"/>
        <w:ind w:left="708" w:hanging="0"/>
        <w:jc w:val="both"/>
        <w:rPr/>
      </w:pPr>
      <w:r>
        <w:rPr/>
        <w:t>e)</w:t>
        <w:tab/>
        <w:t>Statikai terv, vázlat az építési engedélyezési eljárás követelményeinek megfelelően</w:t>
      </w:r>
    </w:p>
    <w:p>
      <w:pPr>
        <w:pStyle w:val="Normal"/>
        <w:ind w:left="708" w:hanging="0"/>
        <w:jc w:val="both"/>
        <w:rPr>
          <w:rFonts w:eastAsia="Times New Roman"/>
        </w:rPr>
      </w:pPr>
      <w:r>
        <w:rPr/>
        <w:t xml:space="preserve">f) </w:t>
      </w:r>
      <w:r>
        <w:rPr>
          <w:rFonts w:eastAsia="Times New Roman"/>
        </w:rPr>
        <w:t>Gépész kiviteli tervek</w:t>
      </w:r>
    </w:p>
    <w:p>
      <w:pPr>
        <w:pStyle w:val="Normal"/>
        <w:ind w:left="708" w:hanging="0"/>
        <w:jc w:val="both"/>
        <w:rPr>
          <w:rFonts w:eastAsia="Times New Roman"/>
        </w:rPr>
      </w:pPr>
      <w:r>
        <w:rPr>
          <w:rFonts w:eastAsia="Times New Roman"/>
        </w:rPr>
        <w:t>g) Villamos kiviteli tervek</w:t>
      </w:r>
    </w:p>
    <w:p>
      <w:pPr>
        <w:pStyle w:val="Normal"/>
        <w:ind w:left="708" w:hanging="0"/>
        <w:jc w:val="both"/>
        <w:rPr/>
      </w:pPr>
      <w:r>
        <w:rPr>
          <w:rFonts w:eastAsia="Times New Roman"/>
        </w:rPr>
        <w:t>h) Építész kiviteli tervek</w:t>
      </w:r>
    </w:p>
    <w:p>
      <w:pPr>
        <w:pStyle w:val="Normal"/>
        <w:jc w:val="both"/>
        <w:rPr/>
      </w:pPr>
      <w:r>
        <w:rPr>
          <w:color w:val="000000"/>
          <w:sz w:val="21"/>
        </w:rPr>
        <w:t>4) A tervezés díja egy összegben: nettó 1 904 762 HUF + 5% ÁFA = bruttó 2 000 000 HUF.</w:t>
      </w:r>
    </w:p>
    <w:p>
      <w:pPr>
        <w:pStyle w:val="Normal"/>
        <w:jc w:val="both"/>
        <w:rPr>
          <w:rFonts w:ascii="Calibri" w:hAnsi="Calibri" w:eastAsia="" w:cs="" w:asciiTheme="minorHAnsi" w:cstheme="minorBidi" w:eastAsiaTheme="minorEastAsia" w:hAnsiTheme="minorHAnsi"/>
          <w:color w:val="auto"/>
          <w:kern w:val="0"/>
          <w:sz w:val="22"/>
          <w:szCs w:val="22"/>
          <w:lang w:val="hu-HU" w:eastAsia="hu-HU" w:bidi="ar-SA"/>
        </w:rPr>
      </w:pPr>
      <w:r>
        <w:rPr>
          <w:rFonts w:eastAsia="" w:cs="" w:cstheme="minorBidi" w:eastAsiaTheme="minorEastAsia"/>
          <w:color w:val="auto"/>
          <w:kern w:val="0"/>
          <w:sz w:val="22"/>
          <w:szCs w:val="22"/>
          <w:lang w:val="hu-HU" w:eastAsia="hu-HU" w:bidi="ar-SA"/>
        </w:rPr>
        <w:t>Amennyiben Felek között a jövőben kivitelezési szerződés is köttetik, annak végszámlájából a tervezési díj teljes egészében jóváírásra kerül.</w:t>
      </w:r>
    </w:p>
    <w:p>
      <w:pPr>
        <w:pStyle w:val="Normal"/>
        <w:jc w:val="both"/>
        <w:rPr/>
      </w:pPr>
      <w:r>
        <w:rPr/>
        <w:t>5)</w:t>
        <w:tab/>
        <w:t>Teljesítés helye és módja: Vállalkozó a terveket elektronikus úton adja át a Megrendelőnek.</w:t>
      </w:r>
    </w:p>
    <w:p>
      <w:pPr>
        <w:pStyle w:val="Normal"/>
        <w:jc w:val="both"/>
        <w:rPr/>
      </w:pPr>
      <w:r>
        <w:rPr/>
        <w:t>6)</w:t>
        <w:tab/>
        <w:t xml:space="preserve">Vállalkozó az 1. pontban meghatározott tervezési szolgáltatás elvégzése közben minden szükséges tervezési feladatot végrehajt. E körben a jóhiszeműség és tisztesség követelményének megfelelően, a Megrendelővel kölcsönösen együttműködve köteles eljárni, a jogszabályokat, szabályzatokat, építési előírásokat, szabványokat és egyéb szakmai szabályokat betartani. Vállalkozó kijelenti, hogy a jelen Szerződés tárgyát képező tervezés hiánytalan, szerződésszerű és a jelen pontban írt szakmai színvonalon történő elvégzéséhez szükséges szakmai tapasztalattal rendelkezik. </w:t>
      </w:r>
    </w:p>
    <w:p>
      <w:pPr>
        <w:pStyle w:val="Normal"/>
        <w:jc w:val="both"/>
        <w:rPr/>
      </w:pPr>
      <w:r>
        <w:rPr/>
        <w:t>7)</w:t>
        <w:tab/>
        <w:t>A munka fázisai: Vállalkozó elemzi Megrendelő igényeit, feltárja a létesítmény megvalósításának kielégíthető követelményeit, a rendeltetés gazdaságos kialakíthatóságára vonatkozó írott és íratlan szabályokat, a vonatkozó jogszabályokhoz és a tervezési területre hatályos helyi szabályozáshoz való alkalmazkodást, és ezekben egyetértésre jut Megrendelővel.</w:t>
      </w:r>
    </w:p>
    <w:p>
      <w:pPr>
        <w:pStyle w:val="Normal"/>
        <w:ind w:left="708" w:hanging="0"/>
        <w:jc w:val="both"/>
        <w:rPr/>
      </w:pPr>
      <w:r>
        <w:rPr/>
        <w:t>a)</w:t>
        <w:tab/>
        <w:t>Előkészítő terv: A feladat meghatározása után Vállalkozó előkészítő tervet (vázlattervet, tanulmánytervet) készít 1:200 méretarányban. A terv meghatározza és bemutatja a létesítmény térbeli összefüggéseit és fontosabb műszaki megoldásait.</w:t>
      </w:r>
    </w:p>
    <w:p>
      <w:pPr>
        <w:pStyle w:val="Normal"/>
        <w:ind w:left="708" w:hanging="0"/>
        <w:jc w:val="both"/>
        <w:rPr/>
      </w:pPr>
      <w:r>
        <w:rPr/>
        <w:t>b)</w:t>
        <w:tab/>
        <w:t>Építési engedélyezési terv készítési szakasz: Megrendelő által jóváhagyott előkészítő terv alapján Vállalkozó elkészíti a létesítmény építési engedélyezési tervdokumentációját. Az építési engedélyezési tervdokumentáció az egyszerűsített bejelentési eljáráshoz benyújtásra alkalmas módon meghatározza, bemutatja, szükség szerint műszaki számítással igazolja a létesítmény elhelyezését, alaprajzi és metszeti elrendezését, megjelenését, épületszerkezeti, tartószerkezeti megoldásait.</w:t>
      </w:r>
    </w:p>
    <w:p>
      <w:pPr>
        <w:pStyle w:val="Normal"/>
        <w:ind w:left="708" w:hanging="0"/>
        <w:jc w:val="both"/>
        <w:rPr/>
      </w:pPr>
      <w:r>
        <w:rPr/>
        <w:t>c)</w:t>
        <w:tab/>
        <w:t>Egyeztetések: Megrendelő az építési engedélyezési tervdokumentáció készítése során egyeztet az illetékes szakhatóságokkal, az érdekelt közmű-szolgáltatókkal és a kéményseprő-ipari közszolgáltatóval, beszerzi a jogszabályban meghatározott nyilatkozatokat.</w:t>
      </w:r>
    </w:p>
    <w:p>
      <w:pPr>
        <w:pStyle w:val="Normal"/>
        <w:jc w:val="both"/>
        <w:rPr/>
      </w:pPr>
      <w:r>
        <w:rPr/>
        <w:t>8)</w:t>
        <w:tab/>
        <w:t xml:space="preserve">A teljesítés módja: A Vállalkozó a terveket közvetlenül a Megrendelő email-címére történő megküldéssel teljesíti, a teljes vállalkozói díj kiegyenlítését követően a tervek ÉTDR feltöltését vállalja. Vállalkozó a tervdokumentációt a szerződés létrejöttekor hatályban lévő, a tervezésre vonatkozó előírások (jogszabályok, szabványok, szabályzat stb.) figyelembe vételével, a megoldás módját speciálisan szabályozó előírásoknak megfelelően készíti el. Ha a tervdokumentáció ennek megfelel, a teljesítés e vonatkozásában szerződésszerű. </w:t>
      </w:r>
    </w:p>
    <w:p>
      <w:pPr>
        <w:pStyle w:val="Normal"/>
        <w:jc w:val="both"/>
        <w:rPr/>
      </w:pPr>
      <w:r>
        <w:rPr/>
        <w:t>9)</w:t>
        <w:tab/>
        <w:t>Vállalkozó szavatolja, hogy az általa elkészített dokumentáció teljes körűen elégséges az egyszerűsített bejelentési eljáráshoz.</w:t>
      </w:r>
    </w:p>
    <w:p>
      <w:pPr>
        <w:pStyle w:val="Normal"/>
        <w:jc w:val="both"/>
        <w:rPr/>
      </w:pPr>
      <w:r>
        <w:rPr/>
        <w:t>10)</w:t>
        <w:tab/>
        <w:t xml:space="preserve">Utasítások: Vállalkozó a Megrendelő érdekeinek, továbbá utasításainak megfelelően köteles eljárni, de az élet- és vagyonbiztonságot veszélyeztető, építési előírásba ütköző, szakszerűtlen, nem megvalósítható, etikai szabályokkal ellentétes szolgáltatást nem végezhet. </w:t>
      </w:r>
    </w:p>
    <w:p>
      <w:pPr>
        <w:pStyle w:val="Normal"/>
        <w:jc w:val="both"/>
        <w:rPr/>
      </w:pPr>
      <w:r>
        <w:rPr/>
        <w:t>11)</w:t>
        <w:tab/>
        <w:t xml:space="preserve">Titoktartás: Vállalkozó a szerződés alapján birtokába jutott adatokat és információkat köteles bizalmasan kezelni, azokat a szerződéssel össze nem függő célra nem használhatja fel, harmadik személynek nem adhatja át. </w:t>
      </w:r>
    </w:p>
    <w:p>
      <w:pPr>
        <w:pStyle w:val="Normal"/>
        <w:jc w:val="both"/>
        <w:rPr/>
      </w:pPr>
      <w:r>
        <w:rPr/>
        <w:t>12)</w:t>
        <w:tab/>
        <w:t xml:space="preserve">Vállalkozó felelőssége: Vállalkozó felelős az általa készített építészeti-műszaki tervek műszaki tartalmának szakszerűségéért, valós állapotnak megfelelő tartalmáért. Építészeti minőségéért, a társtervezők közötti egyeztetések koordinálásáért, munkarészeik összehangolásáért. Vállalkozó kizárólag abban az esetben felel a hatósági eljárás sikertelenségéért, amikor annak oka Vállalkozó által készített tervdokumentáció hiányosságaira vezethető vissza. Vállalkozó nem felel a tervdokumentáció azon hibáiért, amelyek a teljesítést követően, mások által végzett későbbi módosítással vagy tovább tervezéssel összefüggésben merültek fel. </w:t>
      </w:r>
    </w:p>
    <w:p>
      <w:pPr>
        <w:pStyle w:val="Normal"/>
        <w:jc w:val="both"/>
        <w:rPr/>
      </w:pPr>
      <w:r>
        <w:rPr/>
        <w:t>13)</w:t>
        <w:tab/>
        <w:t xml:space="preserve">Megrendelő kötelezettségei és jogai: Megrendelő jogosult a Vállalkozó által készített tervek jóváhagyására, köteles azok átvételére, a szolgáltatás díjának megfizetésére. Megrendelő jogainak gyakorlása és kötelezettségeinek teljesítése során a jóhiszeműség és tisztesség követelményeinek megfelelően, Vállalkozóval együttműködve köteles eljárni. Megrendelő köteles Vállalkozó számára a terv elkészítéséhez, illetve az általa vállalt egyéb szolgáltatások teljesítéséhez szükséges minden adatot, tényt, felvilágosítást, utasítást megadni. </w:t>
      </w:r>
    </w:p>
    <w:p>
      <w:pPr>
        <w:pStyle w:val="Normal"/>
        <w:jc w:val="both"/>
        <w:rPr/>
      </w:pPr>
      <w:r>
        <w:rPr>
          <w:color w:val="000000"/>
          <w:sz w:val="21"/>
        </w:rPr>
        <w:t>14)</w:t>
        <w:tab/>
        <w:t xml:space="preserve">A teljesítési határidő: A felek megállapítják, hogy a szerződés 1. pontjában megjelölt építési tervek nem osztható szolgáltatásnak minősülnek, ennek alapján a részteljesítést kizárják. A Megrendelő részére az építési engedélyezési terveket a Vállalkozó 2026-11-30-ig köteles átadni. A Vállalkozó ezen határidőn belül jogosult előteljesítésre, ez esetben a Megrendelő az előzetesen elkészített terveket köteles átvenni. Vállalkozó a vállalt határidő betartására kötelezhető, azonban a magas minőségű tervezési munkát tartva szem előtt Felek kijelentik, hogy a szolgáltatás teljesítésére vállalt határidőt közös megegyezéssel meghosszabbíthatják.  Amennyiben a Vállalkozóra vonatkozó határidő túllépésének oka Megrendelő mulasztása, abban az esetben a teljesítésre jelen szerződésben meghatározott határidők Vállalkozót nem kötik, illetve teljesítési határideje a késedelem idejével meghosszabbodik. Ilyen oknak kell tekinteni különösen: </w:t>
      </w:r>
    </w:p>
    <w:p>
      <w:pPr>
        <w:pStyle w:val="Normal"/>
        <w:ind w:left="708" w:hanging="0"/>
        <w:jc w:val="both"/>
        <w:rPr/>
      </w:pPr>
      <w:r>
        <w:rPr/>
        <w:t>a)</w:t>
        <w:tab/>
        <w:t>Megrendelő késedelmesen teljesíti adatszolgáltatási vagy jóváhagyási kötelezettségét</w:t>
      </w:r>
    </w:p>
    <w:p>
      <w:pPr>
        <w:pStyle w:val="Normal"/>
        <w:ind w:left="708" w:hanging="0"/>
        <w:jc w:val="both"/>
        <w:rPr/>
      </w:pPr>
      <w:r>
        <w:rPr/>
        <w:t>b)</w:t>
        <w:tab/>
        <w:t>Megrendelő olyan újabb tényt, adatot közöl, mely a szerződés lényeges tartalmára kihatással van</w:t>
      </w:r>
    </w:p>
    <w:p>
      <w:pPr>
        <w:pStyle w:val="Normal"/>
        <w:ind w:left="708" w:hanging="0"/>
        <w:jc w:val="both"/>
        <w:rPr/>
      </w:pPr>
      <w:r>
        <w:rPr/>
        <w:t>c)</w:t>
        <w:tab/>
        <w:t xml:space="preserve">A szerződés megkötése után olyan kötelezően figyelembe veendő előírás (jogszabály, szabvány, szabályzat, stb.) lép hatályba, melynek rendelkezése nyomán a már elkészített tervdokumentációt vagy annak részeit át kell dolgozni. </w:t>
      </w:r>
    </w:p>
    <w:p>
      <w:pPr>
        <w:pStyle w:val="Normal"/>
        <w:jc w:val="both"/>
        <w:rPr/>
      </w:pPr>
      <w:r>
        <w:rPr/>
        <w:t>15)</w:t>
        <w:tab/>
        <w:t xml:space="preserve">Hibás teljesítés esetén Vállalkozó elsődlegesen a tervdokumentáció kijavítására köteles. Megrendelő a szerződést hibás teljesítésre vonatkozóan csak abban az esetben mondhatja fel, ha Vállalkozó tervei nem felelnek meg a vonatkozó hatósági előírásoknak és ezt a harmadik írásos felszólításra sem tudta kijavítani. Megrendelő a szerződést Vállalkozónak felróható késedelemre hivatkozva csak akkor mondhatja fel, ha Vállalkozó késedelme igazolhatóan saját hibájából meghaladta a 90 munkanapot. </w:t>
      </w:r>
    </w:p>
    <w:p>
      <w:pPr>
        <w:pStyle w:val="Normal"/>
        <w:jc w:val="both"/>
        <w:rPr/>
      </w:pPr>
      <w:r>
        <w:rPr>
          <w:color w:val="000000"/>
          <w:sz w:val="21"/>
        </w:rPr>
        <w:t>16) Fizetési feltételek: A teljes tervezési díj nettó 1 904 762 HUF + 5% ÁFA = bruttó 2 000 000 HUF. A fizetés kizárólag a Vállalkozó 11700000-00000001-00000001 számú bankszámlájára történő átutalással teljesíthető. Fizetési ütem: Szerződéskötés: 35%, esedékesség: szerződés aláírásakor; Koncepció elfogadása: 25%, esedékesség: koncepció írásbeli elfogadásakor; Engedélyezési terv: 25%, esedékesség: tervcsomag átadásakor; Kiviteli terv: 15%, esedékesség: hiánytalan átadáskor. A Vállalkozó az adott tervfázis dokumentációját a kapcsolódó fizetési kötelezettség teljesítéséig visszatarthatja.</w:t>
      </w:r>
    </w:p>
    <w:p>
      <w:pPr>
        <w:pStyle w:val="Normal"/>
        <w:jc w:val="both"/>
        <w:rPr/>
      </w:pPr>
      <w:r>
        <w:rPr/>
        <w:t>17)</w:t>
        <w:tab/>
        <w:t xml:space="preserve">Szerzői és felhasználási jogok:   </w:t>
      </w:r>
    </w:p>
    <w:p>
      <w:pPr>
        <w:pStyle w:val="Normal"/>
        <w:ind w:left="708" w:hanging="0"/>
        <w:jc w:val="both"/>
        <w:rPr/>
      </w:pPr>
      <w:r>
        <w:rPr/>
        <w:t>a)</w:t>
        <w:tab/>
        <w:t>SZERZŐI JOG: Jelen szerződéssel kapcsolatban keletkező jogi oltalomban részesíthető szellemi alkotásnak minősülő tervekkel kapcsolatos szerzői jogok Vállalkozót illetik.</w:t>
      </w:r>
    </w:p>
    <w:p>
      <w:pPr>
        <w:pStyle w:val="Normal"/>
        <w:ind w:left="708" w:hanging="0"/>
        <w:jc w:val="both"/>
        <w:rPr/>
      </w:pPr>
      <w:r>
        <w:rPr/>
        <w:t>b)</w:t>
        <w:tab/>
        <w:t>FELHASZNÁLÁSI JOG: Megrendelő az átadott terveket kizárólag jelen szerződésben meghatározott létesítmény engedélyezési eljárásában és kivitelezése során jogosult felhasználni.</w:t>
      </w:r>
    </w:p>
    <w:p>
      <w:pPr>
        <w:pStyle w:val="Normal"/>
        <w:ind w:left="708" w:hanging="0"/>
        <w:jc w:val="both"/>
        <w:rPr/>
      </w:pPr>
      <w:r>
        <w:rPr/>
        <w:t>c)</w:t>
        <w:tab/>
        <w:t>A LÉTESÍTMÉNYRŐL KÉSZÜLT FÉNYKÉPEK, ILLETVE VIDEÓ FELVÉTELEK NYILVÁNOSSÁGRA HOZATALA: Megrendelő hozzájárul ahhoz, hogy Vállalkozó az elkészült létesítményről külső fényképeket készítsen, és azokat a tervekkel együtt nyilvánosságra hozza. Az ennek során közöltek nem tartalmazhatnak Megrendelő által bizalmasnak vagy titkosnak tekintett információkat, adatokat. Ilyen adatoknak minősül különösen: az épület konkrét elhelyezkedése és Megrendelő személyes adatai.</w:t>
      </w:r>
    </w:p>
    <w:p>
      <w:pPr>
        <w:pStyle w:val="Normal"/>
        <w:jc w:val="both"/>
        <w:rPr/>
      </w:pPr>
      <w:r>
        <w:rPr/>
      </w:r>
    </w:p>
    <w:p>
      <w:pPr>
        <w:pStyle w:val="Normal"/>
        <w:jc w:val="both"/>
        <w:rPr/>
      </w:pPr>
      <w:r>
        <w:rPr/>
        <w:t>18)</w:t>
        <w:tab/>
        <w:t xml:space="preserve">A Megrendelő kijelenti, hogy a szerződésben meghatározott vállalkozói díj teljes egészében rendelkezésére áll.  Megrendelő tudomásul veszi, hogy a megrendelt munkát kifizetni köteles, a szerződés anyagi teljesítéséért teljes vagyonával felelősséget vállal. </w:t>
      </w:r>
    </w:p>
    <w:p>
      <w:pPr>
        <w:pStyle w:val="Normal"/>
        <w:jc w:val="both"/>
        <w:rPr/>
      </w:pPr>
      <w:r>
        <w:rPr/>
        <w:t>19)</w:t>
        <w:tab/>
        <w:t xml:space="preserve">A Megrendelő a tervek elkészítéséhez szükséges adatokat és iratokat jelen szerződés aláírásával egyidejűleg hiánytalanul átadja. Amennyiben a Vállalkozó részéről további adatszolgáltatás igénye merül fel, ami a terv elkészítéséhez szükséges és jelen szerződés megkötésekor még nem ismert, úgy a Megrendelő a Vállalkozó ez irányú felhívásától számított 3 munkanapon belül köteles az adatokat szolgáltatni. Ha a kiegészítő adatszolgáltatáshoz ennél hosszabb idő szükséges, úgy a felek ettől eltérő határidőben is megállapodhatnak. Az esetleges többletadatszolgáltatási késedelemmel, illetve az ebből eredő módosítással kapcsolatos többletköltségek a Megrendelőt terhelik. Amennyiben a kiegészítő adatokat a Vállalkozó szerzi be, úgy erre a felek külön díjazásra vonatkozó megállapodást kötnek. Vállalkozó a tervezés közben, a vázlattervezési szakaszban egy alkalommal bemutatja elkészült munkáit és konzultál Megrendelővel, Megrendelő számára ez ingyenes módosítási lehetőséget jelent az előzetesen megbeszélt és rögzített tervezési paraméterekhez képest, mely nem jelenthet jelentős építészeti eltérést. </w:t>
      </w:r>
    </w:p>
    <w:p>
      <w:pPr>
        <w:pStyle w:val="Normal"/>
        <w:jc w:val="both"/>
        <w:rPr/>
      </w:pPr>
      <w:r>
        <w:rPr/>
        <w:t xml:space="preserve">Minden további módosítási kérelem fizetési kötelezettséggel jár Megrendelő részére, melynek összegéről Vállalkozó külön árajánlatot küld és annak írásos elfogadása és az összeg megfizetése után kezdi meg a módosítási munkálatokat. A módosítási kérelmen felül jelzett, de ki nem fizetett módosítási igény, nem befolyásolja jelen szerződés teljesítését, a szerződés ebben az esetben az eredetileg megbeszélt tervezési paraméterek szerint minősül teljesítettnek. </w:t>
      </w:r>
    </w:p>
    <w:p>
      <w:pPr>
        <w:pStyle w:val="Normal"/>
        <w:jc w:val="both"/>
        <w:rPr/>
      </w:pPr>
      <w:r>
        <w:rPr/>
        <w:t xml:space="preserve">Amennyiben a módosítási kérelem nm módosítással is jár, abban az esetben, ha Megrendelő plusz négyzetmétereket kér Vállalkozótól, a plusz négyzetméterekre vonatkozó 16.500 Ft + ÁFA tervezési díjat a módosítás megrendelésével egy időben megfizetni köteles. </w:t>
      </w:r>
    </w:p>
    <w:p>
      <w:pPr>
        <w:pStyle w:val="Normal"/>
        <w:jc w:val="both"/>
        <w:rPr/>
      </w:pPr>
      <w:r>
        <w:rPr/>
        <w:t>A</w:t>
        <w:tab/>
        <w:t xml:space="preserve">tervezési díj nem tartalmazza a hatósági és más eljárások illetékét, igazgatási-szolgáltatási díját, továbbá semmilyen olyan költséget, amelyet egyébként Megrendelő köteles viselni, valamint a Megrendelő hozzájárulásával betervezett szabadalom, mintaoltalom, védjegy és egyéb szerzői jogok díját, és a Megrendelő által igényelt tervezői felelősségbiztosítás díját sem. </w:t>
      </w:r>
    </w:p>
    <w:p>
      <w:pPr>
        <w:pStyle w:val="Normal"/>
        <w:jc w:val="both"/>
        <w:rPr/>
      </w:pPr>
      <w:r>
        <w:rPr/>
        <w:t>20)</w:t>
        <w:tab/>
        <w:t>A Vállalkozó szavatol azért, hogy a tervezés során nem használ fel jogosulatlanul olyan megoldást, amely szerzői jogi védelem vagy iparjogvédelem alatt áll. A Megrendelő tudomásul veszi, hogy az elkészítendő tervek a Vállalkozó szellemi alkotásának minősülnek, azokat a Megrendelő csak az 1. pontban meghatározott célra használhatja fel, másnak nem engedheti át.</w:t>
      </w:r>
    </w:p>
    <w:p>
      <w:r>
        <w:t>KÖTELEZŐ KÉZBESÍTÉSI ZÁRADÉK: Az Imperial által cégszerűen aláírt szerződés legalább egy eredeti példányát igazolható, nyomkövethető postai vagy futárküldeményként a partner hivatalos postai címére, és azzal egyidejűleg az aláírt elektronikus példányt a partner hivatalos e-mail-címére is meg kell küldeni. A nyomkövetési számot, feladási vagy kézbesítési bizonylatot, az elektronikus üzenet azonosítóját, a címzettet, a küldési időt és a csatolmány SHA-256 értékét a szerződésnyilvántartásban rögzíteni kell. A kettős kézbesítés igazolásáig munkakezdési engedély nem adható.</w:t>
      </w:r>
    </w:p>
    <w:p>
      <w:pPr>
        <w:pStyle w:val="Normal"/>
        <w:jc w:val="both"/>
        <w:rPr/>
      </w:pPr>
      <w:r>
        <w:rPr>
          <w:color w:val="000000"/>
          <w:sz w:val="21"/>
        </w:rPr>
        <w:t>Budapest, 2026. 07. 18.</w:t>
      </w:r>
    </w:p>
    <w:p>
      <w:pPr>
        <w:pStyle w:val="Normal"/>
        <w:jc w:val="both"/>
        <w:rPr/>
      </w:pPr>
      <w:r>
        <w:rPr/>
      </w:r>
    </w:p>
    <w:p>
      <w:pPr>
        <w:pStyle w:val="Normal"/>
        <w:jc w:val="both"/>
        <w:rPr/>
      </w:pPr>
      <w:r>
        <w:rPr/>
      </w:r>
    </w:p>
    <w:p>
      <w:pPr>
        <w:pStyle w:val="Normal"/>
        <w:spacing w:lineRule="auto" w:line="259" w:before="0" w:after="0"/>
        <w:ind w:left="0" w:right="0" w:hanging="0"/>
        <w:jc w:val="left"/>
        <w:rPr>
          <w:b/>
          <w:b/>
          <w:sz w:val="20"/>
          <w:szCs w:val="20"/>
        </w:rPr>
      </w:pPr>
      <w:r>
        <w:rPr>
          <w:color w:val="000000"/>
          <w:sz w:val="21"/>
        </w:rPr>
        <w:t>Minta János                                      Minta Imre / Imperial Teszt Megrendelő Kft. (MINTAADAT)</w:t>
      </w:r>
    </w:p>
    <w:p>
      <w:pPr>
        <w:pStyle w:val="Normal"/>
        <w:spacing w:before="0" w:after="0"/>
        <w:jc w:val="both"/>
        <w:rPr>
          <w:rFonts w:ascii="Calibri" w:hAnsi="Calibri"/>
        </w:rPr>
      </w:pPr>
      <w:r>
        <w:rPr>
          <w:color w:val="000000"/>
          <w:sz w:val="21"/>
        </w:rPr>
      </w:r>
    </w:p>
    <w:p>
      <w:pPr>
        <w:pStyle w:val="Normal"/>
        <w:spacing w:before="0" w:after="0"/>
        <w:jc w:val="both"/>
        <w:rPr>
          <w:rFonts w:ascii="Calibri" w:hAnsi="Calibri"/>
        </w:rPr>
      </w:pPr>
      <w:r>
        <w:rPr>
          <w:color w:val="000000"/>
          <w:sz w:val="21"/>
        </w:rPr>
      </w:r>
    </w:p>
    <w:p>
      <w:pPr>
        <w:pStyle w:val="Normal"/>
        <w:spacing w:lineRule="auto" w:line="259" w:before="0" w:after="0"/>
        <w:ind w:left="150" w:right="0" w:hanging="0"/>
        <w:jc w:val="left"/>
        <w:rPr>
          <w:rFonts w:ascii="Calibri" w:hAnsi="Calibri"/>
        </w:rPr>
      </w:pPr>
      <w:r>
        <w:rPr>
          <w:rFonts w:ascii="Calibri" w:hAnsi="Calibri"/>
          <w:b/>
          <w:sz w:val="24"/>
          <w:szCs w:val="24"/>
        </w:rPr>
        <w:t xml:space="preserve">        </w:t>
      </w:r>
      <w:r>
        <w:rPr>
          <w:rFonts w:ascii="Calibri" w:hAnsi="Calibri"/>
          <w:b/>
          <w:sz w:val="24"/>
          <w:szCs w:val="24"/>
        </w:rPr>
        <w:t>Megrendelő                                                                            Vállalkozó</w:t>
      </w:r>
    </w:p>
    <w:sectPr>
      <w:type w:val="nextPage"/>
      <w:pgSz w:w="11906" w:h="16838"/>
      <w:pgMar w:left="1417" w:right="1417"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ee"/>
    <w:family w:val="roman"/>
    <w:pitch w:val="variable"/>
  </w:font>
  <w:font w:name="Calibri">
    <w:charset w:val="ee"/>
    <w:family w:val="roman"/>
    <w:pitch w:val="variable"/>
  </w:font>
  <w:font w:name="Liberation Sans">
    <w:altName w:val="Arial"/>
    <w:charset w:val="ee"/>
    <w:family w:val="roman"/>
    <w:pitch w:val="variable"/>
  </w:font>
  <w:font w:name="Times New Roman">
    <w:charset w:val="ee"/>
    <w:family w:val="roman"/>
    <w:pitch w:val="variable"/>
  </w:font>
  <w:font w:name="Calibri">
    <w:charset w:val="01"/>
    <w:family w:val="swiss"/>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hu-H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hu-HU" w:eastAsia="hu-HU"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 w:cs="" w:asciiTheme="minorHAnsi" w:cstheme="minorBidi" w:eastAsiaTheme="minorEastAsia" w:hAnsiTheme="minorHAnsi"/>
      <w:color w:val="auto"/>
      <w:kern w:val="0"/>
      <w:sz w:val="22"/>
      <w:szCs w:val="22"/>
      <w:lang w:val="hu-HU" w:eastAsia="hu-HU" w:bidi="ar-SA"/>
    </w:rPr>
  </w:style>
  <w:style w:type="character" w:styleId="DefaultParagraphFont" w:default="1">
    <w:name w:val="Default Paragraph Font"/>
    <w:uiPriority w:val="1"/>
    <w:semiHidden/>
    <w:unhideWhenUsed/>
    <w:qFormat/>
    <w:rPr/>
  </w:style>
  <w:style w:type="paragraph" w:styleId="Cmsor">
    <w:name w:val="Címsor"/>
    <w:basedOn w:val="Normal"/>
    <w:next w:val="Szvegtrzs"/>
    <w:qFormat/>
    <w:pPr>
      <w:keepNext w:val="true"/>
      <w:spacing w:before="240" w:after="120"/>
    </w:pPr>
    <w:rPr>
      <w:rFonts w:ascii="Liberation Sans" w:hAnsi="Liberation Sans" w:eastAsia="Microsoft YaHei" w:cs="Arial"/>
      <w:sz w:val="28"/>
      <w:szCs w:val="28"/>
    </w:rPr>
  </w:style>
  <w:style w:type="paragraph" w:styleId="Szvegtrzs">
    <w:name w:val="Body Text"/>
    <w:basedOn w:val="Normal"/>
    <w:pPr>
      <w:spacing w:lineRule="auto" w:line="276" w:before="0" w:after="140"/>
    </w:pPr>
    <w:rPr/>
  </w:style>
  <w:style w:type="paragraph" w:styleId="Lista">
    <w:name w:val="List"/>
    <w:basedOn w:val="Szvegtrzs"/>
    <w:pPr/>
    <w:rPr>
      <w:rFonts w:cs="Arial"/>
    </w:rPr>
  </w:style>
  <w:style w:type="paragraph" w:styleId="Felirat">
    <w:name w:val="Caption"/>
    <w:basedOn w:val="Normal"/>
    <w:qFormat/>
    <w:pPr>
      <w:suppressLineNumbers/>
      <w:spacing w:before="120" w:after="120"/>
    </w:pPr>
    <w:rPr>
      <w:rFonts w:cs="Arial"/>
      <w:i/>
      <w:iCs/>
      <w:sz w:val="24"/>
      <w:szCs w:val="24"/>
    </w:rPr>
  </w:style>
  <w:style w:type="paragraph" w:styleId="Trgymutat">
    <w:name w:val="Tárgymutató"/>
    <w:basedOn w:val="Normal"/>
    <w:qFormat/>
    <w:pPr>
      <w:suppressLineNumbers/>
    </w:pPr>
    <w:rPr>
      <w:rFonts w:cs="Arial"/>
    </w:rPr>
  </w:style>
  <w:style w:type="paragraph" w:styleId="ListParagraph">
    <w:name w:val="List Paragraph"/>
    <w:basedOn w:val="Normal"/>
    <w:uiPriority w:val="34"/>
    <w:qFormat/>
    <w:rsid w:val="00ec6060"/>
    <w:pPr>
      <w:spacing w:before="0" w:after="160"/>
      <w:ind w:left="720" w:hanging="0"/>
      <w:contextualSpacing/>
    </w:pPr>
    <w:rPr/>
  </w:style>
  <w:style w:type="numbering" w:styleId="NoList" w:default="1">
    <w:name w:val="No List"/>
    <w:uiPriority w:val="99"/>
    <w:semiHidden/>
    <w:unhideWhenUsed/>
    <w:qFormat/>
  </w:style>
  <w:style w:type="table" w:default="1" w:styleId="Normltblzat">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Application>LibreOffice/7.4.7.2$Windows_X86_64 LibreOffice_project/723314e595e8007d3cf785c16538505a1c878ca5</Application>
  <AppVersion>15.0000</AppVersion>
  <Pages>5</Pages>
  <Words>1644</Words>
  <Characters>12376</Characters>
  <CharactersWithSpaces>14488</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2023-09-21T09:47:00Z</dcterms:created>
  <dc:creator>Ágnes Bartha</dc:creator>
  <dc:description/>
  <dc:language>hu-HU</dc:language>
  <cp:lastModifiedBy/>
  <dcterms:modified xsi:type="dcterms:W3CDTF">2024-01-04T11:12:23Z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