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JÓVÁHAGYÁSI, KÉZBESÍTÉSI, INDÍTÁSI ÉS SZÁMLAKAPUK</w:t>
      </w:r>
    </w:p>
    <w:p>
      <w:pPr>
        <w:pStyle w:val="Heading1"/>
      </w:pPr>
      <w:r>
        <w:t>Aláírásra küldés előtt</w:t>
      </w:r>
    </w:p>
    <w:p>
      <w:pPr>
        <w:pStyle w:val="ListBullet"/>
      </w:pPr>
      <w:r>
        <w:t>Minden szerződésmező kitöltött; nulla helyőrző vagy üres kötelező mező</w:t>
      </w:r>
    </w:p>
    <w:p>
      <w:pPr>
        <w:pStyle w:val="ListBullet"/>
      </w:pPr>
      <w:r>
        <w:t>Partner- és Imperial-cégadatok, személyes azonosítóadatok, projektcím, helyrajzi szám, nettó–ÁFA–bruttó ár és határidők ellenőrizve</w:t>
      </w:r>
    </w:p>
    <w:p>
      <w:pPr>
        <w:pStyle w:val="ListBullet"/>
      </w:pPr>
      <w:r>
        <w:t>Master SHA-256 egyezés, kötelező mellékletek és jóváhagyások rögzítve</w:t>
      </w:r>
    </w:p>
    <w:p>
      <w:pPr>
        <w:pStyle w:val="Heading1"/>
      </w:pPr>
      <w:r>
        <w:t>Aláírás után – kötelező kettős kézbesítés</w:t>
      </w:r>
    </w:p>
    <w:p>
      <w:pPr>
        <w:pStyle w:val="ListBullet"/>
      </w:pPr>
      <w:r>
        <w:t>Aláírt eredeti példány igazolható postai/futárküldeményként feladva</w:t>
      </w:r>
    </w:p>
    <w:p>
      <w:pPr>
        <w:pStyle w:val="ListBullet"/>
      </w:pPr>
      <w:r>
        <w:t>Nyomkövetési szám és feladási/kézbesítési bizonylat a ContractID-hoz mentve</w:t>
      </w:r>
    </w:p>
    <w:p>
      <w:pPr>
        <w:pStyle w:val="ListBullet"/>
      </w:pPr>
      <w:r>
        <w:t>Azonos aláírt dokumentum elektronikusan is elküldve a partner hivatalos e-mail-címére</w:t>
      </w:r>
    </w:p>
    <w:p>
      <w:pPr>
        <w:pStyle w:val="ListBullet"/>
      </w:pPr>
      <w:r>
        <w:t>E-mail MessageID, címzett, küldési idő és csatolmány SHA-256 rögzítve</w:t>
      </w:r>
    </w:p>
    <w:p>
      <w:pPr>
        <w:pStyle w:val="Heading1"/>
      </w:pPr>
      <w:r>
        <w:t>Munka megkezdése előtt</w:t>
      </w:r>
    </w:p>
    <w:p>
      <w:pPr>
        <w:pStyle w:val="ListBullet"/>
      </w:pPr>
      <w:r>
        <w:t>Mindkét fél által aláírt szerződés és mellékletek visszamentve</w:t>
      </w:r>
    </w:p>
    <w:p>
      <w:pPr>
        <w:pStyle w:val="ListBullet"/>
      </w:pPr>
      <w:r>
        <w:t>Kettős kézbesítési kapu teljesült</w:t>
      </w:r>
    </w:p>
    <w:p>
      <w:pPr>
        <w:pStyle w:val="ListBullet"/>
      </w:pPr>
      <w:r>
        <w:t>WorkStartAllowed = true</w:t>
      </w:r>
    </w:p>
    <w:p>
      <w:pPr>
        <w:pStyle w:val="Heading1"/>
      </w:pPr>
      <w:r>
        <w:t>Számlabefogadás előtt</w:t>
      </w:r>
    </w:p>
    <w:p>
      <w:pPr>
        <w:pStyle w:val="ListBullet"/>
      </w:pPr>
      <w:r>
        <w:t>Aláírt és elfogadott, jogosult személy által jóváhagyott TIG rendelkezésre áll</w:t>
      </w:r>
    </w:p>
    <w:p>
      <w:pPr>
        <w:pStyle w:val="ListBullet"/>
      </w:pPr>
      <w:r>
        <w:t>Számla sorszáma, kelte, teljesítési időpontja, esedékessége, felek neve/címe/adószáma és tételsorai hiánytalanok</w:t>
      </w:r>
    </w:p>
    <w:p>
      <w:pPr>
        <w:pStyle w:val="ListBullet"/>
      </w:pPr>
      <w:r>
        <w:t>Nettó, ÁFA és bruttó összeg számtanilag helyes és megegyezik a TIG összegével</w:t>
      </w:r>
    </w:p>
    <w:p>
      <w:pPr>
        <w:pStyle w:val="ListBullet"/>
      </w:pPr>
      <w:r>
        <w:t>Számla olvasható, sértetlen, nem duplikált, és a szerződés/projekt hivatkozása helyes</w:t>
      </w:r>
    </w:p>
    <w:p>
      <w:pPr>
        <w:pStyle w:val="ListBullet"/>
      </w:pPr>
      <w:r>
        <w:t>Hiba esetén azonnali REJECTED_IMMEDIATELY státusz és jogi szövegű visszautasító értesítés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