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69" w:rsidRPr="00D80F95" w:rsidRDefault="00034AF3" w:rsidP="00B74ED3">
      <w:pPr>
        <w:spacing w:after="0" w:line="240" w:lineRule="auto"/>
        <w:jc w:val="center"/>
        <w:rPr>
          <w:sz w:val="28"/>
          <w:szCs w:val="28"/>
        </w:rPr>
      </w:pPr>
      <w:r w:rsidRPr="00D80F95">
        <w:rPr>
          <w:sz w:val="28"/>
          <w:szCs w:val="28"/>
        </w:rPr>
        <w:t xml:space="preserve">MSDS </w:t>
      </w:r>
      <w:proofErr w:type="gramStart"/>
      <w:r w:rsidRPr="00D80F95">
        <w:rPr>
          <w:sz w:val="28"/>
          <w:szCs w:val="28"/>
        </w:rPr>
        <w:t>6372</w:t>
      </w:r>
      <w:r w:rsidR="00381EEB" w:rsidRPr="00D80F95">
        <w:rPr>
          <w:sz w:val="28"/>
          <w:szCs w:val="28"/>
        </w:rPr>
        <w:t xml:space="preserve"> :</w:t>
      </w:r>
      <w:proofErr w:type="gramEnd"/>
      <w:r w:rsidR="00381EEB" w:rsidRPr="00D80F95">
        <w:rPr>
          <w:sz w:val="28"/>
          <w:szCs w:val="28"/>
        </w:rPr>
        <w:t xml:space="preserve">  Principal Component Analysis</w:t>
      </w:r>
    </w:p>
    <w:p w:rsidR="000970A2" w:rsidRPr="00D80F95" w:rsidRDefault="00931454" w:rsidP="0038668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Glass </w:t>
      </w:r>
      <w:proofErr w:type="gramStart"/>
      <w:r>
        <w:rPr>
          <w:b/>
          <w:i/>
          <w:sz w:val="28"/>
          <w:szCs w:val="28"/>
        </w:rPr>
        <w:t>Identification</w:t>
      </w:r>
      <w:r w:rsidR="0073439B" w:rsidRPr="00D80F95">
        <w:rPr>
          <w:b/>
          <w:i/>
          <w:sz w:val="28"/>
          <w:szCs w:val="28"/>
        </w:rPr>
        <w:t xml:space="preserve"> :</w:t>
      </w:r>
      <w:proofErr w:type="gramEnd"/>
      <w:r w:rsidR="0073439B" w:rsidRPr="00D80F9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Refractive Index (RI)</w:t>
      </w:r>
      <w:r w:rsidR="00381EEB" w:rsidRPr="00D80F95">
        <w:rPr>
          <w:b/>
          <w:i/>
          <w:sz w:val="28"/>
          <w:szCs w:val="28"/>
        </w:rPr>
        <w:t xml:space="preserve"> </w:t>
      </w:r>
      <w:r w:rsidR="003257E0" w:rsidRPr="00D80F95">
        <w:rPr>
          <w:b/>
          <w:i/>
          <w:sz w:val="28"/>
          <w:szCs w:val="28"/>
        </w:rPr>
        <w:t>Analysis</w:t>
      </w:r>
      <w:r w:rsidR="0073439B" w:rsidRPr="00D80F95">
        <w:rPr>
          <w:b/>
          <w:i/>
          <w:sz w:val="28"/>
          <w:szCs w:val="28"/>
        </w:rPr>
        <w:t xml:space="preserve"> </w:t>
      </w:r>
    </w:p>
    <w:p w:rsidR="000970A2" w:rsidRPr="0021655F" w:rsidRDefault="00F73D43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1. </w:t>
      </w:r>
      <w:r w:rsidR="000970A2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Introduction</w:t>
      </w:r>
    </w:p>
    <w:p w:rsidR="005466B5" w:rsidRPr="00962511" w:rsidRDefault="00BF3F64" w:rsidP="005466B5">
      <w:pPr>
        <w:spacing w:after="0" w:line="240" w:lineRule="auto"/>
        <w:rPr>
          <w:rFonts w:eastAsia="Times New Roman" w:cs="Calibri"/>
        </w:rPr>
      </w:pPr>
      <w:r>
        <w:t xml:space="preserve"> </w:t>
      </w:r>
      <w:r w:rsidR="005466B5">
        <w:t>“</w:t>
      </w:r>
      <w:r w:rsidR="005466B5" w:rsidRPr="009001F0">
        <w:rPr>
          <w:i/>
        </w:rPr>
        <w:t>N</w:t>
      </w:r>
      <w:r w:rsidR="005466B5" w:rsidRPr="009001F0">
        <w:rPr>
          <w:rFonts w:ascii="Times New Roman" w:eastAsia="Times New Roman" w:hAnsi="Times New Roman"/>
          <w:i/>
          <w:sz w:val="24"/>
          <w:szCs w:val="24"/>
        </w:rPr>
        <w:t>ow you see it, now you don't. Glass is a bit of a riddle. It's hard enough to protect us, but it shatters with incredible ease. It's made from opaque sand, yet it's completely transparent. And, perhaps most surprisingly of all, it behaves like a solid material... but it's also a sort of weird liquid in disguise! You can find glass wherever you look: most rooms in your home will have a glass window and, if not that, perhaps a glass mirror... or a glass lightbulb. Glass is one of the world's oldest and most versatile human-created materials</w:t>
      </w:r>
      <w:r w:rsidR="005466B5" w:rsidRPr="009001F0">
        <w:rPr>
          <w:rFonts w:asciiTheme="majorHAnsi" w:eastAsia="Times New Roman" w:hAnsiTheme="majorHAnsi" w:cstheme="majorHAnsi"/>
          <w:i/>
          <w:sz w:val="24"/>
          <w:szCs w:val="24"/>
        </w:rPr>
        <w:t>.”</w:t>
      </w:r>
      <w:r w:rsidR="009001F0" w:rsidRPr="009001F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01F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01F0" w:rsidRPr="00962511">
        <w:rPr>
          <w:rFonts w:eastAsia="Times New Roman" w:cs="Calibri"/>
        </w:rPr>
        <w:t xml:space="preserve">Chris Woodford September 17, 2016, </w:t>
      </w:r>
      <w:hyperlink r:id="rId7" w:history="1">
        <w:r w:rsidR="00962511" w:rsidRPr="00962511">
          <w:rPr>
            <w:rStyle w:val="Hyperlink"/>
            <w:rFonts w:eastAsia="Times New Roman" w:cs="Calibri"/>
          </w:rPr>
          <w:t>http://www.explainthatstuff.com/glass.html</w:t>
        </w:r>
      </w:hyperlink>
      <w:r w:rsidR="009001F0" w:rsidRPr="00962511">
        <w:rPr>
          <w:rFonts w:eastAsia="Times New Roman" w:cs="Calibri"/>
        </w:rPr>
        <w:t xml:space="preserve"> </w:t>
      </w:r>
    </w:p>
    <w:p w:rsidR="00962511" w:rsidRPr="00962511" w:rsidRDefault="00962511" w:rsidP="005466B5">
      <w:pPr>
        <w:spacing w:after="0" w:line="240" w:lineRule="auto"/>
        <w:rPr>
          <w:rFonts w:eastAsia="Times New Roman" w:cs="Calibri"/>
        </w:rPr>
      </w:pPr>
    </w:p>
    <w:p w:rsidR="00962511" w:rsidRDefault="00962511" w:rsidP="005466B5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Glass is made from a liquid form of sand </w:t>
      </w:r>
      <w:r w:rsidR="005A0C1E">
        <w:rPr>
          <w:rFonts w:eastAsia="Times New Roman" w:cs="Calibri"/>
        </w:rPr>
        <w:t>with</w:t>
      </w:r>
      <w:r>
        <w:rPr>
          <w:rFonts w:eastAsia="Times New Roman" w:cs="Calibri"/>
        </w:rPr>
        <w:t xml:space="preserve"> a temperature of </w:t>
      </w:r>
      <m:oMath>
        <m:sSup>
          <m:sSupPr>
            <m:ctrlPr>
              <w:rPr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3090</m:t>
            </m:r>
          </m:e>
          <m:sup>
            <m:r>
              <w:rPr>
                <w:rFonts w:ascii="Cambria Math" w:eastAsia="Times New Roman" w:hAnsi="Cambria Math" w:cs="Calibri"/>
              </w:rPr>
              <m:t>o</m:t>
            </m:r>
          </m:sup>
        </m:sSup>
        <m:r>
          <w:rPr>
            <w:rFonts w:ascii="Cambria Math" w:eastAsia="Times New Roman" w:hAnsi="Cambria Math" w:cs="Calibri"/>
          </w:rPr>
          <m:t>F</m:t>
        </m:r>
      </m:oMath>
      <w:r>
        <w:rPr>
          <w:rFonts w:eastAsia="Times New Roman" w:cs="Calibri"/>
        </w:rPr>
        <w:t xml:space="preserve">. When the sand </w:t>
      </w:r>
      <w:r w:rsidR="005A0C1E">
        <w:rPr>
          <w:rFonts w:eastAsia="Times New Roman" w:cs="Calibri"/>
        </w:rPr>
        <w:t>cools, it</w:t>
      </w:r>
      <w:r>
        <w:rPr>
          <w:rFonts w:eastAsia="Times New Roman" w:cs="Calibri"/>
        </w:rPr>
        <w:t xml:space="preserve"> completely transforms i</w:t>
      </w:r>
      <w:r w:rsidR="00E10C1B">
        <w:rPr>
          <w:rFonts w:eastAsia="Times New Roman" w:cs="Calibri"/>
        </w:rPr>
        <w:t xml:space="preserve">nto a different structure that is </w:t>
      </w:r>
      <w:r w:rsidR="0071578B">
        <w:rPr>
          <w:rFonts w:eastAsia="Times New Roman" w:cs="Calibri"/>
        </w:rPr>
        <w:t>not quite</w:t>
      </w:r>
      <w:r w:rsidR="00E10C1B">
        <w:rPr>
          <w:rFonts w:eastAsia="Times New Roman" w:cs="Calibri"/>
        </w:rPr>
        <w:t xml:space="preserve"> solid.</w:t>
      </w:r>
      <w:r w:rsidR="00B204F3">
        <w:rPr>
          <w:rFonts w:eastAsia="Times New Roman" w:cs="Calibri"/>
        </w:rPr>
        <w:t xml:space="preserve">  It becomes a material that scientists refer to as an </w:t>
      </w:r>
      <w:r w:rsidR="00B204F3" w:rsidRPr="00B204F3">
        <w:rPr>
          <w:rFonts w:eastAsia="Times New Roman" w:cs="Calibri"/>
          <w:b/>
        </w:rPr>
        <w:t>amorphous solid</w:t>
      </w:r>
      <w:r w:rsidR="00B204F3">
        <w:rPr>
          <w:rFonts w:eastAsia="Times New Roman" w:cs="Calibri"/>
        </w:rPr>
        <w:t>, a cross between a solid and a liquid. Usually other materials are added</w:t>
      </w:r>
      <w:r w:rsidR="005A0C1E">
        <w:rPr>
          <w:rFonts w:eastAsia="Times New Roman" w:cs="Calibri"/>
        </w:rPr>
        <w:t xml:space="preserve"> into the liquid</w:t>
      </w:r>
      <w:r w:rsidR="00B204F3">
        <w:rPr>
          <w:rFonts w:eastAsia="Times New Roman" w:cs="Calibri"/>
        </w:rPr>
        <w:t xml:space="preserve"> to change its </w:t>
      </w:r>
      <w:r w:rsidR="0071578B">
        <w:rPr>
          <w:rFonts w:eastAsia="Times New Roman" w:cs="Calibri"/>
        </w:rPr>
        <w:t xml:space="preserve">chemical </w:t>
      </w:r>
      <w:r w:rsidR="00B204F3">
        <w:rPr>
          <w:rFonts w:eastAsia="Times New Roman" w:cs="Calibri"/>
        </w:rPr>
        <w:t>properties based on the purpose of the glass.</w:t>
      </w:r>
    </w:p>
    <w:p w:rsidR="00BF3F64" w:rsidRDefault="00BF3F64" w:rsidP="005466B5">
      <w:pPr>
        <w:spacing w:after="0" w:line="240" w:lineRule="auto"/>
        <w:rPr>
          <w:rFonts w:eastAsia="Times New Roman" w:cs="Calibri"/>
        </w:rPr>
      </w:pPr>
    </w:p>
    <w:p w:rsidR="00B204F3" w:rsidRPr="006F2621" w:rsidRDefault="009E5686" w:rsidP="006F2621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Refractive index (RI) determines how much light is bent or refracted when enter</w:t>
      </w:r>
      <w:r w:rsidR="00D97689">
        <w:rPr>
          <w:rFonts w:eastAsia="Times New Roman" w:cs="Calibri"/>
        </w:rPr>
        <w:t>ing an object or in our case glass</w:t>
      </w:r>
      <w:r>
        <w:rPr>
          <w:rFonts w:eastAsia="Times New Roman" w:cs="Calibri"/>
        </w:rPr>
        <w:t>.</w:t>
      </w:r>
      <w:r w:rsidR="005A0C1E">
        <w:rPr>
          <w:rFonts w:eastAsia="Times New Roman" w:cs="Calibri"/>
        </w:rPr>
        <w:t xml:space="preserve"> The purpose of this study is to understand the different chemical compositions of glass </w:t>
      </w:r>
      <w:r w:rsidR="00350BEC">
        <w:rPr>
          <w:rFonts w:eastAsia="Times New Roman" w:cs="Calibri"/>
        </w:rPr>
        <w:t>and how these chemicals can affect</w:t>
      </w:r>
      <w:r w:rsidR="005A0C1E">
        <w:rPr>
          <w:rFonts w:eastAsia="Times New Roman" w:cs="Calibri"/>
        </w:rPr>
        <w:t xml:space="preserve"> </w:t>
      </w:r>
      <w:r w:rsidR="00350BEC">
        <w:rPr>
          <w:rFonts w:eastAsia="Times New Roman" w:cs="Calibri"/>
        </w:rPr>
        <w:t>the refractive index</w:t>
      </w:r>
      <w:r w:rsidR="005A0C1E">
        <w:rPr>
          <w:rFonts w:eastAsia="Times New Roman" w:cs="Calibri"/>
        </w:rPr>
        <w:t>.</w:t>
      </w:r>
    </w:p>
    <w:p w:rsidR="0021655F" w:rsidRPr="0021655F" w:rsidRDefault="0021655F" w:rsidP="0071724B">
      <w:pPr>
        <w:jc w:val="both"/>
        <w:rPr>
          <w:rFonts w:asciiTheme="majorHAnsi" w:hAnsiTheme="majorHAnsi"/>
          <w:sz w:val="24"/>
          <w:szCs w:val="24"/>
        </w:rPr>
      </w:pPr>
    </w:p>
    <w:p w:rsidR="006356D8" w:rsidRPr="009B018A" w:rsidRDefault="00F73D43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2. </w:t>
      </w:r>
      <w:r w:rsidR="005D2A6F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Exploratory Analysis</w:t>
      </w:r>
    </w:p>
    <w:p w:rsidR="006356D8" w:rsidRPr="00027C83" w:rsidRDefault="00027C83" w:rsidP="00C464BF">
      <w:pPr>
        <w:jc w:val="both"/>
        <w:rPr>
          <w:rFonts w:asciiTheme="majorHAnsi" w:hAnsiTheme="majorHAnsi" w:cstheme="majorHAnsi"/>
          <w:sz w:val="24"/>
          <w:szCs w:val="24"/>
        </w:rPr>
      </w:pPr>
      <w:r w:rsidRPr="00027C83">
        <w:rPr>
          <w:rFonts w:asciiTheme="majorHAnsi" w:hAnsiTheme="majorHAnsi" w:cstheme="majorHAnsi"/>
          <w:color w:val="000000"/>
          <w:sz w:val="24"/>
          <w:szCs w:val="24"/>
        </w:rPr>
        <w:t>http://archive.ics.uci.edu/ml/datasets/Glass+Identification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027C83" w:rsidTr="009B018A">
        <w:trPr>
          <w:trHeight w:val="341"/>
        </w:trPr>
        <w:tc>
          <w:tcPr>
            <w:tcW w:w="10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82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number: 1 to 214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Refractive index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NA20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Sodium (unit measurement: weight percent in corresponding oxide, as are attributes 4-10)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Magnesium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AL203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Aluminum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SI02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Silicon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K20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Potassium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Calcium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FE203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Iron</w:t>
            </w:r>
          </w:p>
        </w:tc>
      </w:tr>
      <w:tr w:rsidR="00027C83" w:rsidTr="009B018A">
        <w:trPr>
          <w:trHeight w:val="341"/>
        </w:trPr>
        <w:tc>
          <w:tcPr>
            <w:tcW w:w="10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Type</w:t>
            </w:r>
          </w:p>
        </w:tc>
        <w:tc>
          <w:tcPr>
            <w:tcW w:w="82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glass</w:t>
            </w:r>
          </w:p>
        </w:tc>
      </w:tr>
    </w:tbl>
    <w:p w:rsidR="002067DB" w:rsidRPr="0021655F" w:rsidRDefault="002067DB" w:rsidP="0031539C">
      <w:pPr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</w:p>
    <w:p w:rsidR="0031539C" w:rsidRPr="0021655F" w:rsidRDefault="0031539C" w:rsidP="0031539C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3. </w:t>
      </w:r>
      <w:r w:rsidR="00C51E77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Principal Component Analysis </w:t>
      </w:r>
      <w:r w:rsidR="00701092">
        <w:rPr>
          <w:rFonts w:asciiTheme="majorHAnsi" w:hAnsiTheme="majorHAnsi"/>
          <w:b/>
          <w:color w:val="0F243E" w:themeColor="text2" w:themeShade="80"/>
          <w:sz w:val="28"/>
          <w:szCs w:val="28"/>
        </w:rPr>
        <w:t>(PCA)</w:t>
      </w:r>
    </w:p>
    <w:p w:rsidR="00C51E77" w:rsidRDefault="00667F69" w:rsidP="004D677C">
      <w:bookmarkStart w:id="0" w:name="IDX"/>
      <w:bookmarkEnd w:id="0"/>
      <w:r>
        <w:rPr>
          <w:b/>
          <w:sz w:val="24"/>
          <w:szCs w:val="24"/>
        </w:rPr>
        <w:t>Correlations</w:t>
      </w:r>
      <w:r w:rsidRPr="003D4E9F">
        <w:rPr>
          <w:sz w:val="24"/>
          <w:szCs w:val="24"/>
        </w:rPr>
        <w:t>:</w:t>
      </w:r>
    </w:p>
    <w:p w:rsidR="000D2B74" w:rsidRDefault="000D2B74" w:rsidP="00667F69">
      <w:pPr>
        <w:pStyle w:val="NoSpacing"/>
        <w:jc w:val="both"/>
      </w:pPr>
      <w:r>
        <w:t xml:space="preserve">First we will take a look at the correlation matrix between the elements of sand.  </w:t>
      </w:r>
      <w:r w:rsidR="00FD38A5">
        <w:t>In our study, we are using the correlation matrix over the covariance matrix because of the variance in the variables</w:t>
      </w:r>
      <w:r w:rsidR="009D39D2">
        <w:t xml:space="preserve"> of these data</w:t>
      </w:r>
      <w:r w:rsidR="00FD38A5">
        <w:t xml:space="preserve">. The correlation matrix is </w:t>
      </w:r>
      <w:proofErr w:type="gramStart"/>
      <w:r w:rsidR="00FD38A5">
        <w:t>a sums</w:t>
      </w:r>
      <w:proofErr w:type="gramEnd"/>
      <w:r w:rsidR="00FD38A5">
        <w:t xml:space="preserve"> of squares and cross products from the standardized data. This</w:t>
      </w:r>
      <w:r>
        <w:t xml:space="preserve"> correlation will tell use which elements have the highest positive and highest negative correlation.</w:t>
      </w:r>
    </w:p>
    <w:p w:rsidR="004B3646" w:rsidRDefault="004B3646" w:rsidP="007543AB">
      <w:pPr>
        <w:pStyle w:val="NoSpacing"/>
      </w:pPr>
      <w:r>
        <w:t xml:space="preserve"> </w:t>
      </w:r>
    </w:p>
    <w:p w:rsidR="007543AB" w:rsidRDefault="007543AB" w:rsidP="00667F69">
      <w:pPr>
        <w:pStyle w:val="NoSpacing"/>
        <w:jc w:val="both"/>
      </w:pPr>
      <w:r>
        <w:t>In the correlati</w:t>
      </w:r>
      <w:r w:rsidR="00552713">
        <w:t xml:space="preserve">on </w:t>
      </w:r>
      <w:r w:rsidR="00451936">
        <w:t xml:space="preserve">matrix </w:t>
      </w:r>
      <w:r w:rsidR="00451936" w:rsidRPr="00667F69">
        <w:rPr>
          <w:b/>
        </w:rPr>
        <w:t>(</w:t>
      </w:r>
      <w:r w:rsidR="006D3BB9" w:rsidRPr="00667F69">
        <w:rPr>
          <w:b/>
        </w:rPr>
        <w:t>Ref</w:t>
      </w:r>
      <w:r w:rsidR="00667F69" w:rsidRPr="00667F69">
        <w:rPr>
          <w:b/>
        </w:rPr>
        <w:t>:</w:t>
      </w:r>
      <w:r w:rsidR="00667F69">
        <w:rPr>
          <w:b/>
        </w:rPr>
        <w:t xml:space="preserve"> Table A</w:t>
      </w:r>
      <w:r w:rsidR="006D3BB9" w:rsidRPr="00667F69">
        <w:rPr>
          <w:b/>
        </w:rPr>
        <w:t>)</w:t>
      </w:r>
      <w:r w:rsidR="00734535">
        <w:t>,</w:t>
      </w:r>
      <w:r>
        <w:t xml:space="preserve"> we see a high positive correlation between variables </w:t>
      </w:r>
      <w:r w:rsidRPr="009D39D2">
        <w:rPr>
          <w:b/>
          <w:i/>
        </w:rPr>
        <w:t>Sodium</w:t>
      </w:r>
      <w:r>
        <w:t xml:space="preserve">(NA20) and </w:t>
      </w:r>
      <w:r w:rsidRPr="009D39D2">
        <w:rPr>
          <w:b/>
          <w:i/>
        </w:rPr>
        <w:t>Barium</w:t>
      </w:r>
      <w:r>
        <w:t xml:space="preserve">(BA0) </w:t>
      </w:r>
      <w:r w:rsidR="00552713">
        <w:t xml:space="preserve">with </w:t>
      </w:r>
      <w:r w:rsidR="00552713" w:rsidRPr="009D39D2">
        <w:rPr>
          <w:b/>
          <w:i/>
        </w:rPr>
        <w:t>0.33</w:t>
      </w:r>
      <w:r>
        <w:t xml:space="preserve">, </w:t>
      </w:r>
      <w:r w:rsidRPr="009D39D2">
        <w:rPr>
          <w:b/>
          <w:i/>
        </w:rPr>
        <w:t>Aluminum</w:t>
      </w:r>
      <w:r>
        <w:t xml:space="preserve">(AL203) and </w:t>
      </w:r>
      <w:r w:rsidR="00552713" w:rsidRPr="009D39D2">
        <w:rPr>
          <w:b/>
          <w:i/>
        </w:rPr>
        <w:t>Potassium</w:t>
      </w:r>
      <w:r w:rsidR="00552713">
        <w:t>(</w:t>
      </w:r>
      <w:r>
        <w:t>K20</w:t>
      </w:r>
      <w:r w:rsidR="00552713">
        <w:t xml:space="preserve">) with </w:t>
      </w:r>
      <w:r w:rsidR="00552713" w:rsidRPr="009D39D2">
        <w:rPr>
          <w:b/>
        </w:rPr>
        <w:t>0.33</w:t>
      </w:r>
      <w:r>
        <w:t xml:space="preserve"> and </w:t>
      </w:r>
      <w:r w:rsidR="00552713" w:rsidRPr="009D39D2">
        <w:rPr>
          <w:b/>
          <w:i/>
        </w:rPr>
        <w:t>Aluminum</w:t>
      </w:r>
      <w:r w:rsidR="00552713">
        <w:t xml:space="preserve"> </w:t>
      </w:r>
      <w:r>
        <w:t xml:space="preserve">(AL203) and </w:t>
      </w:r>
      <w:r w:rsidR="00552713" w:rsidRPr="009D39D2">
        <w:rPr>
          <w:b/>
          <w:i/>
        </w:rPr>
        <w:t>Barium</w:t>
      </w:r>
      <w:r w:rsidR="00552713">
        <w:t>(</w:t>
      </w:r>
      <w:r>
        <w:t>BA0</w:t>
      </w:r>
      <w:r w:rsidR="00552713">
        <w:t>)</w:t>
      </w:r>
      <w:r w:rsidR="00734535">
        <w:t xml:space="preserve"> with </w:t>
      </w:r>
      <w:r w:rsidR="00734535" w:rsidRPr="009D39D2">
        <w:rPr>
          <w:b/>
        </w:rPr>
        <w:t>0.48</w:t>
      </w:r>
      <w:r>
        <w:t>.</w:t>
      </w:r>
      <w:r w:rsidR="00734535">
        <w:t xml:space="preserve"> We also see a low negative correlation between variables</w:t>
      </w:r>
      <w:r w:rsidR="009D39D2">
        <w:t xml:space="preserve"> </w:t>
      </w:r>
      <w:r w:rsidR="009D39D2" w:rsidRPr="009D39D2">
        <w:rPr>
          <w:b/>
          <w:i/>
        </w:rPr>
        <w:t>Magnesium</w:t>
      </w:r>
      <w:r w:rsidR="009D39D2">
        <w:t xml:space="preserve">(MG0) and </w:t>
      </w:r>
      <w:r w:rsidR="009D39D2" w:rsidRPr="009D39D2">
        <w:rPr>
          <w:b/>
          <w:i/>
        </w:rPr>
        <w:t>Aluminum</w:t>
      </w:r>
      <w:r w:rsidR="009D39D2">
        <w:t xml:space="preserve">(AL203) with </w:t>
      </w:r>
      <w:r w:rsidR="009D39D2" w:rsidRPr="006D1DD4">
        <w:rPr>
          <w:b/>
          <w:i/>
        </w:rPr>
        <w:t>-0.48</w:t>
      </w:r>
      <w:r w:rsidR="009D39D2">
        <w:t xml:space="preserve">, </w:t>
      </w:r>
      <w:r w:rsidR="009D39D2" w:rsidRPr="006D1DD4">
        <w:rPr>
          <w:b/>
          <w:i/>
        </w:rPr>
        <w:t>Magnesium</w:t>
      </w:r>
      <w:r w:rsidR="009D39D2">
        <w:t xml:space="preserve">(MG0) and </w:t>
      </w:r>
      <w:r w:rsidR="009D39D2" w:rsidRPr="006D1DD4">
        <w:rPr>
          <w:b/>
          <w:i/>
        </w:rPr>
        <w:t>Barium</w:t>
      </w:r>
      <w:r w:rsidR="009D39D2">
        <w:t xml:space="preserve"> (BA0) with </w:t>
      </w:r>
      <w:r w:rsidR="009D39D2" w:rsidRPr="006D1DD4">
        <w:rPr>
          <w:b/>
          <w:i/>
        </w:rPr>
        <w:t>-0.49</w:t>
      </w:r>
      <w:r w:rsidR="009D39D2">
        <w:t xml:space="preserve"> and </w:t>
      </w:r>
      <w:r w:rsidR="009D39D2" w:rsidRPr="006D1DD4">
        <w:rPr>
          <w:b/>
          <w:i/>
        </w:rPr>
        <w:t>Magnesium</w:t>
      </w:r>
      <w:r w:rsidR="009D39D2">
        <w:t xml:space="preserve">(MG0) and </w:t>
      </w:r>
      <w:r w:rsidR="005E2DE2" w:rsidRPr="005E2DE2">
        <w:rPr>
          <w:b/>
          <w:i/>
        </w:rPr>
        <w:t>Calcium</w:t>
      </w:r>
      <w:r w:rsidR="005E2DE2">
        <w:t>(</w:t>
      </w:r>
      <w:r w:rsidR="009D39D2">
        <w:t>CA0</w:t>
      </w:r>
      <w:r w:rsidR="005E2DE2">
        <w:t>)</w:t>
      </w:r>
      <w:r w:rsidR="009D39D2">
        <w:t xml:space="preserve"> with </w:t>
      </w:r>
      <w:r w:rsidR="009D39D2" w:rsidRPr="005E2DE2">
        <w:rPr>
          <w:b/>
          <w:i/>
        </w:rPr>
        <w:t>-0.44</w:t>
      </w:r>
      <w:r w:rsidR="009D39D2">
        <w:t>.</w:t>
      </w:r>
    </w:p>
    <w:p w:rsidR="00734535" w:rsidRDefault="00734535" w:rsidP="007543AB">
      <w:pPr>
        <w:pStyle w:val="NoSpacing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96"/>
      </w:tblGrid>
      <w:tr w:rsidR="00C51E77" w:rsidTr="006D3BB9">
        <w:trPr>
          <w:trHeight w:val="2857"/>
          <w:jc w:val="center"/>
        </w:trPr>
        <w:tc>
          <w:tcPr>
            <w:tcW w:w="5896" w:type="dxa"/>
          </w:tcPr>
          <w:p w:rsidR="00C51E77" w:rsidRDefault="008067BB" w:rsidP="004D677C">
            <w:r>
              <w:rPr>
                <w:noProof/>
              </w:rPr>
              <w:drawing>
                <wp:inline distT="0" distB="0" distL="0" distR="0">
                  <wp:extent cx="3460444" cy="2060369"/>
                  <wp:effectExtent l="0" t="0" r="6985" b="0"/>
                  <wp:docPr id="2" name="Picture 2" descr="\\.psf\Home\Desktop\Screen Shot 2016-11-10 at 9.06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.psf\Home\Desktop\Screen Shot 2016-11-10 at 9.06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353" cy="2079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BB9" w:rsidRPr="0021655F" w:rsidRDefault="00667F69" w:rsidP="006D3BB9">
      <w:pPr>
        <w:ind w:left="72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Table A</w:t>
      </w:r>
      <w:r w:rsidR="006D3BB9" w:rsidRPr="0021655F">
        <w:rPr>
          <w:rFonts w:asciiTheme="majorHAnsi" w:hAnsiTheme="majorHAnsi"/>
          <w:b/>
          <w:sz w:val="20"/>
          <w:szCs w:val="20"/>
        </w:rPr>
        <w:t xml:space="preserve"> </w:t>
      </w:r>
      <w:r w:rsidR="006D3BB9">
        <w:rPr>
          <w:rFonts w:asciiTheme="majorHAnsi" w:hAnsiTheme="majorHAnsi"/>
          <w:b/>
          <w:sz w:val="20"/>
          <w:szCs w:val="20"/>
        </w:rPr>
        <w:t>–</w:t>
      </w:r>
      <w:r w:rsidR="006D3BB9" w:rsidRPr="0021655F">
        <w:rPr>
          <w:rFonts w:asciiTheme="majorHAnsi" w:hAnsiTheme="majorHAnsi"/>
          <w:b/>
          <w:sz w:val="20"/>
          <w:szCs w:val="20"/>
        </w:rPr>
        <w:t xml:space="preserve"> </w:t>
      </w:r>
      <w:r w:rsidR="006D3BB9">
        <w:rPr>
          <w:rFonts w:asciiTheme="majorHAnsi" w:hAnsiTheme="majorHAnsi"/>
          <w:b/>
          <w:sz w:val="20"/>
          <w:szCs w:val="20"/>
        </w:rPr>
        <w:t>Correlation Matrix Standardized Data</w:t>
      </w:r>
    </w:p>
    <w:p w:rsidR="00C51E77" w:rsidRDefault="00C51E77" w:rsidP="004D677C"/>
    <w:p w:rsidR="00C51E77" w:rsidRDefault="00667F69" w:rsidP="004D677C">
      <w:r>
        <w:rPr>
          <w:b/>
          <w:sz w:val="24"/>
          <w:szCs w:val="24"/>
        </w:rPr>
        <w:t>Eigenvalues</w:t>
      </w:r>
      <w:r w:rsidRPr="003D4E9F">
        <w:rPr>
          <w:sz w:val="24"/>
          <w:szCs w:val="24"/>
        </w:rPr>
        <w:t>:</w:t>
      </w:r>
    </w:p>
    <w:p w:rsidR="009822AD" w:rsidRDefault="006D3BB9" w:rsidP="00667F69">
      <w:pPr>
        <w:pStyle w:val="NoSpacing"/>
        <w:jc w:val="both"/>
      </w:pPr>
      <w:r>
        <w:t>Next we are going to take a look at the Eigenvalues</w:t>
      </w:r>
      <w:r w:rsidR="00CE2814">
        <w:t xml:space="preserve"> from the </w:t>
      </w:r>
      <w:r w:rsidR="00DD7923">
        <w:t>Eigenvalue M</w:t>
      </w:r>
      <w:r w:rsidR="00CE2814">
        <w:t xml:space="preserve">atrix below and the scree plot </w:t>
      </w:r>
      <w:r w:rsidR="00DD7923">
        <w:rPr>
          <w:b/>
        </w:rPr>
        <w:t>(Ref: Table B and C</w:t>
      </w:r>
      <w:r w:rsidR="00CE2814" w:rsidRPr="00DD7923">
        <w:rPr>
          <w:b/>
        </w:rPr>
        <w:t>)</w:t>
      </w:r>
      <w:r w:rsidR="00CE2814">
        <w:t xml:space="preserve">. Looking at the matrix the first </w:t>
      </w:r>
      <w:r w:rsidR="00F73E63">
        <w:t>four (</w:t>
      </w:r>
      <w:r w:rsidR="00CE2814">
        <w:t>4</w:t>
      </w:r>
      <w:r w:rsidR="00F73E63">
        <w:t>) principal</w:t>
      </w:r>
      <w:r w:rsidR="00CE2814">
        <w:t xml:space="preserve"> components </w:t>
      </w:r>
      <w:r w:rsidR="00F73E63">
        <w:t xml:space="preserve">variables </w:t>
      </w:r>
      <w:r w:rsidR="00CE2814">
        <w:t xml:space="preserve">have Eigenvalues </w:t>
      </w:r>
      <w:r w:rsidR="00F73E63">
        <w:t>greater than one</w:t>
      </w:r>
      <w:r w:rsidR="00CE2814">
        <w:t xml:space="preserve"> </w:t>
      </w:r>
      <w:r w:rsidR="00F73E63">
        <w:t>(</w:t>
      </w:r>
      <w:r w:rsidR="00CE2814">
        <w:t>1</w:t>
      </w:r>
      <w:r w:rsidR="00F73E63">
        <w:t>)</w:t>
      </w:r>
      <w:r w:rsidR="00CE2814">
        <w:t xml:space="preserve"> explaining 77% of the variance.</w:t>
      </w:r>
      <w:r w:rsidR="00667F69">
        <w:t xml:space="preserve"> The largest difference is between component one (1) and component two (2) with 0.60. </w:t>
      </w:r>
    </w:p>
    <w:p w:rsidR="009822AD" w:rsidRDefault="009822AD" w:rsidP="00667F69">
      <w:pPr>
        <w:pStyle w:val="NoSpacing"/>
        <w:jc w:val="both"/>
      </w:pPr>
    </w:p>
    <w:p w:rsidR="006D3BB9" w:rsidRDefault="00BA141B" w:rsidP="00667F69">
      <w:pPr>
        <w:pStyle w:val="NoSpacing"/>
        <w:jc w:val="both"/>
      </w:pPr>
      <w:r>
        <w:t>Our</w:t>
      </w:r>
      <w:r w:rsidR="00623EE1">
        <w:t xml:space="preserve"> Scree Plot</w:t>
      </w:r>
      <w:r>
        <w:t xml:space="preserve"> for these data</w:t>
      </w:r>
      <w:r w:rsidR="00623EE1">
        <w:t xml:space="preserve"> doesn’t indicate a steep curve, followed by a bend then a flat horizontal line.  Instead this Scree Plot seem to descend </w:t>
      </w:r>
      <w:r w:rsidR="00E85219">
        <w:t>at</w:t>
      </w:r>
      <w:r w:rsidR="00623EE1">
        <w:t xml:space="preserve"> a</w:t>
      </w:r>
      <w:r w:rsidR="00C12922">
        <w:t xml:space="preserve">n angle almost linear pattern and not a good indicator of which components to retain.  </w:t>
      </w:r>
      <w:r w:rsidR="009822AD">
        <w:t xml:space="preserve">Next to the Scree Plot in Table C is the Variance Explained plot which is a graphical view of the Eigenvalue Matrix in Table B. Between the </w:t>
      </w:r>
      <w:r w:rsidR="00465979">
        <w:t xml:space="preserve">Eigenvalue Matrix and the Variance Explained graph helps us decide the number of components.  </w:t>
      </w:r>
    </w:p>
    <w:p w:rsidR="00954F49" w:rsidRDefault="00954F49" w:rsidP="00954F49">
      <w:pPr>
        <w:pStyle w:val="NoSpacing"/>
      </w:pPr>
    </w:p>
    <w:p w:rsidR="00954F49" w:rsidRDefault="00954F49" w:rsidP="004D67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6"/>
      </w:tblGrid>
      <w:tr w:rsidR="008067BB" w:rsidTr="009949CE">
        <w:trPr>
          <w:trHeight w:val="3120"/>
          <w:jc w:val="center"/>
        </w:trPr>
        <w:tc>
          <w:tcPr>
            <w:tcW w:w="7021" w:type="dxa"/>
          </w:tcPr>
          <w:p w:rsidR="008067BB" w:rsidRDefault="008067BB" w:rsidP="009949C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01984" cy="2612290"/>
                  <wp:effectExtent l="0" t="0" r="0" b="0"/>
                  <wp:docPr id="3" name="Picture 3" descr="\\.psf\Home\Desktop\Screen Shot 2016-11-10 at 9.07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.psf\Home\Desktop\Screen Shot 2016-11-10 at 9.07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241" cy="263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7F69" w:rsidRPr="006E133F" w:rsidRDefault="006E133F" w:rsidP="006E133F">
            <w:pPr>
              <w:ind w:left="7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Table B</w:t>
            </w:r>
            <w:r w:rsidRPr="0021655F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–</w:t>
            </w:r>
            <w:r w:rsidRPr="0021655F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Eigenvalue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Matrix </w:t>
            </w:r>
          </w:p>
        </w:tc>
      </w:tr>
      <w:tr w:rsidR="006F4077" w:rsidTr="009949CE">
        <w:trPr>
          <w:trHeight w:val="3120"/>
          <w:jc w:val="center"/>
        </w:trPr>
        <w:tc>
          <w:tcPr>
            <w:tcW w:w="7021" w:type="dxa"/>
          </w:tcPr>
          <w:p w:rsidR="006F4077" w:rsidRDefault="006F4077" w:rsidP="004D67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54847" cy="2992582"/>
                  <wp:effectExtent l="0" t="0" r="0" b="0"/>
                  <wp:docPr id="4" name="Picture 4" descr="\\.psf\Home\Desktop\Screen Shot 2016-11-10 at 9.08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.psf\Home\Desktop\Screen Shot 2016-11-10 at 9.08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848" cy="2997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67BB" w:rsidRDefault="008067BB" w:rsidP="004D677C"/>
    <w:p w:rsidR="00C51E77" w:rsidRDefault="00701092" w:rsidP="004D677C">
      <w:r>
        <w:rPr>
          <w:b/>
          <w:sz w:val="24"/>
          <w:szCs w:val="24"/>
        </w:rPr>
        <w:t>Components</w:t>
      </w:r>
      <w:r w:rsidRPr="003D4E9F">
        <w:rPr>
          <w:sz w:val="24"/>
          <w:szCs w:val="24"/>
        </w:rPr>
        <w:t>:</w:t>
      </w:r>
    </w:p>
    <w:p w:rsidR="0078791B" w:rsidRDefault="006706F6" w:rsidP="006706F6">
      <w:pPr>
        <w:pStyle w:val="NoSpacing"/>
      </w:pPr>
      <w:r>
        <w:t xml:space="preserve">From the Eigenvalues analysis, above we </w:t>
      </w:r>
      <w:r w:rsidR="003B3303">
        <w:t>will</w:t>
      </w:r>
      <w:r>
        <w:t xml:space="preserve"> focus on the first four (4) </w:t>
      </w:r>
      <w:r w:rsidR="00BA141B">
        <w:t xml:space="preserve">principal </w:t>
      </w:r>
      <w:r>
        <w:t xml:space="preserve">components more closely. </w:t>
      </w:r>
      <w:r w:rsidR="00463665">
        <w:t xml:space="preserve">In </w:t>
      </w:r>
      <w:r w:rsidR="00CD0829">
        <w:rPr>
          <w:b/>
        </w:rPr>
        <w:t>Graph 2</w:t>
      </w:r>
      <w:r w:rsidR="00463665">
        <w:t xml:space="preserve"> shows a matrix plot of component scores between the first four components. The histogram of each component is displayed in the diagonal element of the matrix. This histogram for the </w:t>
      </w:r>
      <w:r w:rsidR="00463665">
        <w:lastRenderedPageBreak/>
        <w:t xml:space="preserve">first component shows that it is skewed to the right with the fourth component slightly skewed to the left. The second the third component histogram are close to normal distribution. </w:t>
      </w:r>
    </w:p>
    <w:p w:rsidR="00CC0810" w:rsidRDefault="00CC0810" w:rsidP="006706F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2"/>
      </w:tblGrid>
      <w:tr w:rsidR="00CC0810" w:rsidTr="00CD0829">
        <w:trPr>
          <w:trHeight w:val="3739"/>
          <w:jc w:val="center"/>
        </w:trPr>
        <w:tc>
          <w:tcPr>
            <w:tcW w:w="5212" w:type="dxa"/>
          </w:tcPr>
          <w:p w:rsidR="00CC0810" w:rsidRDefault="00CC0810" w:rsidP="006706F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111335" cy="3083413"/>
                  <wp:effectExtent l="0" t="0" r="0" b="3175"/>
                  <wp:docPr id="6" name="Picture 6" descr="\\.psf\Home\Desktop\Screen Shot 2016-11-11 at 11.09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.psf\Home\Desktop\Screen Shot 2016-11-11 at 11.09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461" cy="310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5CB5" w:rsidRDefault="00CD0829" w:rsidP="00BB5CB5">
            <w:pPr>
              <w:pStyle w:val="NoSpacing"/>
              <w:jc w:val="center"/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Graph 1</w:t>
            </w:r>
            <w:r w:rsidR="00BB5CB5" w:rsidRPr="0021655F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BB5CB5">
              <w:rPr>
                <w:rFonts w:asciiTheme="majorHAnsi" w:hAnsiTheme="majorHAnsi"/>
                <w:b/>
                <w:sz w:val="20"/>
                <w:szCs w:val="20"/>
              </w:rPr>
              <w:t>–</w:t>
            </w:r>
            <w:r w:rsidR="00BB5CB5" w:rsidRPr="0021655F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BB5CB5">
              <w:rPr>
                <w:rFonts w:asciiTheme="majorHAnsi" w:hAnsiTheme="majorHAnsi"/>
                <w:b/>
                <w:sz w:val="20"/>
                <w:szCs w:val="20"/>
              </w:rPr>
              <w:t>Component Scores Matrix</w:t>
            </w:r>
          </w:p>
          <w:p w:rsidR="00CC0810" w:rsidRDefault="00CC0810" w:rsidP="006706F6">
            <w:pPr>
              <w:pStyle w:val="NoSpacing"/>
            </w:pPr>
          </w:p>
        </w:tc>
      </w:tr>
    </w:tbl>
    <w:p w:rsidR="00CC0810" w:rsidRDefault="00CC0810" w:rsidP="006706F6">
      <w:pPr>
        <w:pStyle w:val="NoSpacing"/>
      </w:pPr>
    </w:p>
    <w:p w:rsidR="003B3303" w:rsidRDefault="003B3303" w:rsidP="006706F6">
      <w:pPr>
        <w:pStyle w:val="NoSpacing"/>
      </w:pPr>
    </w:p>
    <w:p w:rsidR="003B3303" w:rsidRDefault="003B3303" w:rsidP="006706F6">
      <w:pPr>
        <w:pStyle w:val="NoSpacing"/>
      </w:pPr>
      <w:r>
        <w:t>NA20 Prin1</w:t>
      </w:r>
      <w:r w:rsidR="00BA141B">
        <w:t>, 0.38</w:t>
      </w:r>
    </w:p>
    <w:p w:rsidR="003B3303" w:rsidRDefault="003B3303" w:rsidP="006706F6">
      <w:pPr>
        <w:pStyle w:val="NoSpacing"/>
      </w:pPr>
      <w:r>
        <w:t>MG0 Prin2</w:t>
      </w:r>
      <w:r w:rsidR="00BA141B">
        <w:t>, 0.40</w:t>
      </w:r>
    </w:p>
    <w:p w:rsidR="003B3303" w:rsidRDefault="003B3303" w:rsidP="006706F6">
      <w:pPr>
        <w:pStyle w:val="NoSpacing"/>
      </w:pPr>
      <w:r>
        <w:t>AL203 Prin1</w:t>
      </w:r>
      <w:r w:rsidR="00BA141B">
        <w:t>, 0.52</w:t>
      </w:r>
    </w:p>
    <w:p w:rsidR="003B3303" w:rsidRDefault="003B3303" w:rsidP="006706F6">
      <w:pPr>
        <w:pStyle w:val="NoSpacing"/>
      </w:pPr>
      <w:r>
        <w:t>SI02 Prin4</w:t>
      </w:r>
      <w:r w:rsidR="00BA141B">
        <w:t>, 0.83</w:t>
      </w:r>
    </w:p>
    <w:p w:rsidR="003B3303" w:rsidRDefault="003B3303" w:rsidP="006706F6">
      <w:pPr>
        <w:pStyle w:val="NoSpacing"/>
      </w:pPr>
      <w:r>
        <w:t>K20 Prin2, 0.53</w:t>
      </w:r>
    </w:p>
    <w:p w:rsidR="003B3303" w:rsidRDefault="003B3303" w:rsidP="006706F6">
      <w:pPr>
        <w:pStyle w:val="NoSpacing"/>
      </w:pPr>
      <w:r>
        <w:t>CA0 Prin3 0.32</w:t>
      </w:r>
    </w:p>
    <w:p w:rsidR="003B3303" w:rsidRDefault="003B3303" w:rsidP="006706F6">
      <w:pPr>
        <w:pStyle w:val="NoSpacing"/>
      </w:pPr>
      <w:r>
        <w:t>BA0 Prin1 0.54</w:t>
      </w:r>
    </w:p>
    <w:p w:rsidR="003B3303" w:rsidRDefault="003B3303" w:rsidP="006706F6">
      <w:pPr>
        <w:pStyle w:val="NoSpacing"/>
      </w:pPr>
      <w:r>
        <w:t>FE203 Prin3</w:t>
      </w:r>
    </w:p>
    <w:p w:rsidR="003B3303" w:rsidRDefault="003B3303" w:rsidP="006706F6">
      <w:pPr>
        <w:pStyle w:val="NoSpacing"/>
      </w:pPr>
    </w:p>
    <w:p w:rsidR="003B3303" w:rsidRDefault="003B3303" w:rsidP="006706F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9"/>
      </w:tblGrid>
      <w:tr w:rsidR="003B3303" w:rsidTr="003B3303">
        <w:trPr>
          <w:trHeight w:val="1588"/>
          <w:jc w:val="center"/>
        </w:trPr>
        <w:tc>
          <w:tcPr>
            <w:tcW w:w="5569" w:type="dxa"/>
          </w:tcPr>
          <w:p w:rsidR="003B3303" w:rsidRDefault="003B3303" w:rsidP="003B3303">
            <w:pPr>
              <w:pStyle w:val="NoSpacing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41023" cy="2817598"/>
                  <wp:effectExtent l="0" t="0" r="2540" b="1905"/>
                  <wp:docPr id="5" name="Picture 5" descr="\\.psf\Home\Desktop\Screen Shot 2016-11-11 at 10.21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.psf\Home\Desktop\Screen Shot 2016-11-11 at 10.21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143" cy="28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303" w:rsidRDefault="003B3303" w:rsidP="006706F6">
      <w:pPr>
        <w:pStyle w:val="NoSpacing"/>
      </w:pPr>
    </w:p>
    <w:p w:rsidR="006706F6" w:rsidRDefault="006706F6" w:rsidP="006706F6">
      <w:pPr>
        <w:pStyle w:val="NoSpacing"/>
      </w:pPr>
    </w:p>
    <w:p w:rsidR="006706F6" w:rsidRPr="0021655F" w:rsidRDefault="006706F6" w:rsidP="006706F6">
      <w:pPr>
        <w:pStyle w:val="NoSpacing"/>
      </w:pPr>
    </w:p>
    <w:p w:rsidR="004337F1" w:rsidRDefault="009B018A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>5</w:t>
      </w:r>
      <w:r w:rsidR="0031539C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. Regression Analysis</w:t>
      </w:r>
      <w:r w:rsidR="0000669C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of the Principal Components</w:t>
      </w:r>
    </w:p>
    <w:p w:rsidR="00D7492B" w:rsidRPr="009B018A" w:rsidRDefault="00D7492B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00000"/>
          <w:sz w:val="24"/>
          <w:szCs w:val="24"/>
        </w:rPr>
        <w:t>Regression analysis of the principal components</w:t>
      </w:r>
      <w:r>
        <w:rPr>
          <w:sz w:val="24"/>
          <w:szCs w:val="24"/>
        </w:rPr>
        <w:t>….</w:t>
      </w:r>
    </w:p>
    <w:p w:rsidR="001B49A4" w:rsidRPr="0021655F" w:rsidRDefault="009B018A" w:rsidP="001B49A4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>6</w:t>
      </w:r>
      <w:r w:rsidR="001B49A4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. </w:t>
      </w:r>
      <w:r w:rsidR="003D4E9F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Conclusion</w:t>
      </w:r>
    </w:p>
    <w:p w:rsidR="00550DE6" w:rsidRDefault="00550DE6" w:rsidP="00550DE6">
      <w:pPr>
        <w:jc w:val="both"/>
      </w:pPr>
      <w:r w:rsidRPr="003D4E9F">
        <w:rPr>
          <w:b/>
          <w:sz w:val="24"/>
          <w:szCs w:val="24"/>
        </w:rPr>
        <w:t xml:space="preserve">Statistical </w:t>
      </w:r>
      <w:proofErr w:type="gramStart"/>
      <w:r w:rsidRPr="003D4E9F">
        <w:rPr>
          <w:b/>
          <w:sz w:val="24"/>
          <w:szCs w:val="24"/>
        </w:rPr>
        <w:t>Conclusion</w:t>
      </w:r>
      <w:r w:rsidRPr="003D4E9F">
        <w:rPr>
          <w:sz w:val="24"/>
          <w:szCs w:val="24"/>
        </w:rPr>
        <w:t xml:space="preserve"> </w:t>
      </w:r>
      <w:r w:rsidRPr="007B6846">
        <w:t>:</w:t>
      </w:r>
      <w:proofErr w:type="gramEnd"/>
      <w:r w:rsidRPr="007B6846">
        <w:t xml:space="preserve"> </w:t>
      </w:r>
    </w:p>
    <w:p w:rsidR="00AE212E" w:rsidRPr="0021655F" w:rsidRDefault="00AE212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912ADE" w:rsidRPr="0021655F" w:rsidRDefault="00912AD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912ADE" w:rsidRPr="0021655F" w:rsidRDefault="00912AD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EC2F72" w:rsidRPr="0021655F" w:rsidRDefault="00EC2F72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26DE" w:rsidRPr="0021655F" w:rsidRDefault="002B26DE" w:rsidP="00AE212E">
      <w:pPr>
        <w:jc w:val="center"/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  <w:r w:rsidRPr="0021655F">
        <w:rPr>
          <w:rFonts w:asciiTheme="majorHAnsi" w:hAnsiTheme="majorHAnsi"/>
          <w:b/>
          <w:color w:val="0F243E" w:themeColor="text2" w:themeShade="80"/>
          <w:sz w:val="32"/>
          <w:szCs w:val="32"/>
        </w:rPr>
        <w:t>APPENDIX</w:t>
      </w:r>
    </w:p>
    <w:p w:rsidR="002B26DE" w:rsidRPr="0021655F" w:rsidRDefault="00AE212E" w:rsidP="006C0D4F">
      <w:pPr>
        <w:rPr>
          <w:rFonts w:asciiTheme="majorHAnsi" w:hAnsiTheme="majorHAnsi"/>
          <w:b/>
          <w:color w:val="0F243E" w:themeColor="text2" w:themeShade="80"/>
        </w:rPr>
      </w:pPr>
      <w:r w:rsidRPr="0021655F">
        <w:rPr>
          <w:rFonts w:asciiTheme="majorHAnsi" w:hAnsiTheme="majorHAnsi"/>
          <w:b/>
          <w:color w:val="0F243E" w:themeColor="text2" w:themeShade="80"/>
        </w:rPr>
        <w:t xml:space="preserve">SAS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6DE" w:rsidRPr="0021655F" w:rsidTr="009B018A">
        <w:tc>
          <w:tcPr>
            <w:tcW w:w="9350" w:type="dxa"/>
          </w:tcPr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glass;</w:t>
            </w:r>
          </w:p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'glass.csv'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dlm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','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firstobs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ID RI NA20 MG0 AL2</w:t>
            </w:r>
            <w:r w:rsidR="00C47E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03 SI02 K20 CA0 BA0 FE203 Type</w:t>
            </w:r>
            <w:bookmarkStart w:id="1" w:name="_GoBack"/>
            <w:bookmarkEnd w:id="1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EC2F72" w:rsidRDefault="002867DF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867DF" w:rsidRDefault="002867DF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2867DF" w:rsidRDefault="002867DF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glass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7573C8" w:rsidRDefault="007573C8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7573C8" w:rsidRDefault="007573C8" w:rsidP="007573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lastRenderedPageBreak/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princomp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glass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=a ;</w:t>
            </w:r>
          </w:p>
          <w:p w:rsidR="007573C8" w:rsidRDefault="007573C8" w:rsidP="007573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NA20 MG0 AL203 SI02 K20 CA0 BA0 FE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203 ;</w:t>
            </w:r>
            <w:proofErr w:type="gramEnd"/>
          </w:p>
          <w:p w:rsidR="007573C8" w:rsidRPr="0021655F" w:rsidRDefault="007573C8" w:rsidP="007573C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B26DE" w:rsidRPr="0021655F" w:rsidRDefault="002B26DE" w:rsidP="00152656">
            <w:pPr>
              <w:rPr>
                <w:rFonts w:asciiTheme="majorHAnsi" w:hAnsiTheme="majorHAnsi"/>
              </w:rPr>
            </w:pPr>
          </w:p>
        </w:tc>
      </w:tr>
    </w:tbl>
    <w:p w:rsidR="002B26DE" w:rsidRPr="0021655F" w:rsidRDefault="002B26DE" w:rsidP="006C0D4F">
      <w:pPr>
        <w:rPr>
          <w:rFonts w:asciiTheme="majorHAnsi" w:hAnsiTheme="majorHAnsi"/>
          <w:sz w:val="24"/>
          <w:szCs w:val="24"/>
        </w:rPr>
      </w:pPr>
    </w:p>
    <w:p w:rsidR="002364ED" w:rsidRDefault="002364ED" w:rsidP="002364ED">
      <w:pPr>
        <w:rPr>
          <w:rFonts w:asciiTheme="majorHAnsi" w:hAnsiTheme="majorHAnsi"/>
          <w:b/>
          <w:sz w:val="24"/>
          <w:szCs w:val="24"/>
        </w:rPr>
      </w:pPr>
      <w:r w:rsidRPr="0021655F">
        <w:rPr>
          <w:rFonts w:asciiTheme="majorHAnsi" w:hAnsiTheme="majorHAnsi"/>
          <w:b/>
          <w:sz w:val="24"/>
          <w:szCs w:val="24"/>
        </w:rPr>
        <w:t xml:space="preserve">References </w:t>
      </w:r>
    </w:p>
    <w:p w:rsidR="005466B5" w:rsidRPr="0021655F" w:rsidRDefault="005466B5" w:rsidP="002364ED">
      <w:pPr>
        <w:rPr>
          <w:rFonts w:asciiTheme="majorHAnsi" w:hAnsiTheme="majorHAnsi"/>
          <w:sz w:val="24"/>
          <w:szCs w:val="24"/>
        </w:rPr>
      </w:pPr>
      <w:r w:rsidRPr="005466B5">
        <w:rPr>
          <w:rFonts w:asciiTheme="majorHAnsi" w:hAnsiTheme="majorHAnsi"/>
          <w:sz w:val="24"/>
          <w:szCs w:val="24"/>
        </w:rPr>
        <w:t>http://www.explainthatstuff.com/glass.html</w:t>
      </w:r>
    </w:p>
    <w:p w:rsidR="002364ED" w:rsidRPr="0021655F" w:rsidRDefault="002364ED" w:rsidP="002364ED">
      <w:pPr>
        <w:jc w:val="center"/>
        <w:rPr>
          <w:rFonts w:asciiTheme="majorHAnsi" w:hAnsiTheme="majorHAnsi"/>
        </w:rPr>
      </w:pPr>
      <w:r w:rsidRPr="0021655F">
        <w:rPr>
          <w:rFonts w:asciiTheme="majorHAnsi" w:hAnsiTheme="majorHAnsi"/>
        </w:rPr>
        <w:t>************</w:t>
      </w:r>
    </w:p>
    <w:p w:rsidR="002364ED" w:rsidRDefault="002364ED" w:rsidP="006C0D4F"/>
    <w:sectPr w:rsidR="002364ED" w:rsidSect="009D166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815" w:rsidRDefault="003E6815" w:rsidP="00F42749">
      <w:pPr>
        <w:spacing w:after="0" w:line="240" w:lineRule="auto"/>
      </w:pPr>
      <w:r>
        <w:separator/>
      </w:r>
    </w:p>
  </w:endnote>
  <w:endnote w:type="continuationSeparator" w:id="0">
    <w:p w:rsidR="003E6815" w:rsidRDefault="003E6815" w:rsidP="00F4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85797"/>
      <w:docPartObj>
        <w:docPartGallery w:val="Page Numbers (Bottom of Page)"/>
        <w:docPartUnique/>
      </w:docPartObj>
    </w:sdtPr>
    <w:sdtEndPr/>
    <w:sdtContent>
      <w:p w:rsidR="00DC6526" w:rsidRDefault="00D80F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3E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6526" w:rsidRDefault="00DC6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815" w:rsidRDefault="003E6815" w:rsidP="00F42749">
      <w:pPr>
        <w:spacing w:after="0" w:line="240" w:lineRule="auto"/>
      </w:pPr>
      <w:r>
        <w:separator/>
      </w:r>
    </w:p>
  </w:footnote>
  <w:footnote w:type="continuationSeparator" w:id="0">
    <w:p w:rsidR="003E6815" w:rsidRDefault="003E6815" w:rsidP="00F4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0927"/>
    <w:multiLevelType w:val="hybridMultilevel"/>
    <w:tmpl w:val="72A4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6AF"/>
    <w:multiLevelType w:val="hybridMultilevel"/>
    <w:tmpl w:val="262A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5653"/>
    <w:multiLevelType w:val="hybridMultilevel"/>
    <w:tmpl w:val="D334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0789"/>
    <w:multiLevelType w:val="hybridMultilevel"/>
    <w:tmpl w:val="AC0E1C70"/>
    <w:lvl w:ilvl="0" w:tplc="63949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7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CA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8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A3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6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E7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8E115F"/>
    <w:multiLevelType w:val="hybridMultilevel"/>
    <w:tmpl w:val="2A0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E6391"/>
    <w:multiLevelType w:val="hybridMultilevel"/>
    <w:tmpl w:val="F0DA6F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6503C"/>
    <w:multiLevelType w:val="hybridMultilevel"/>
    <w:tmpl w:val="A90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9D"/>
    <w:rsid w:val="000033A6"/>
    <w:rsid w:val="0000669C"/>
    <w:rsid w:val="00021A88"/>
    <w:rsid w:val="000258F8"/>
    <w:rsid w:val="00027C83"/>
    <w:rsid w:val="00032576"/>
    <w:rsid w:val="00034AF3"/>
    <w:rsid w:val="00040F0F"/>
    <w:rsid w:val="00051824"/>
    <w:rsid w:val="00055FEE"/>
    <w:rsid w:val="000651DC"/>
    <w:rsid w:val="000741DF"/>
    <w:rsid w:val="00080D71"/>
    <w:rsid w:val="00081120"/>
    <w:rsid w:val="0008243B"/>
    <w:rsid w:val="000970A2"/>
    <w:rsid w:val="000A4E13"/>
    <w:rsid w:val="000B7030"/>
    <w:rsid w:val="000C1F02"/>
    <w:rsid w:val="000D2B74"/>
    <w:rsid w:val="000F0BF5"/>
    <w:rsid w:val="001005B8"/>
    <w:rsid w:val="00107336"/>
    <w:rsid w:val="00124D13"/>
    <w:rsid w:val="0013257B"/>
    <w:rsid w:val="00151100"/>
    <w:rsid w:val="00152656"/>
    <w:rsid w:val="001556DE"/>
    <w:rsid w:val="0015725B"/>
    <w:rsid w:val="0016248C"/>
    <w:rsid w:val="00177A6B"/>
    <w:rsid w:val="001A3158"/>
    <w:rsid w:val="001A62CD"/>
    <w:rsid w:val="001A63AF"/>
    <w:rsid w:val="001B327B"/>
    <w:rsid w:val="001B49A4"/>
    <w:rsid w:val="001B6734"/>
    <w:rsid w:val="001C40D9"/>
    <w:rsid w:val="001E0E90"/>
    <w:rsid w:val="00200441"/>
    <w:rsid w:val="002067DB"/>
    <w:rsid w:val="00214C0C"/>
    <w:rsid w:val="0021655F"/>
    <w:rsid w:val="0022382C"/>
    <w:rsid w:val="00232ED2"/>
    <w:rsid w:val="002364ED"/>
    <w:rsid w:val="00243B9F"/>
    <w:rsid w:val="00250852"/>
    <w:rsid w:val="00261C9E"/>
    <w:rsid w:val="002867DF"/>
    <w:rsid w:val="0029133D"/>
    <w:rsid w:val="0029741B"/>
    <w:rsid w:val="002A5B90"/>
    <w:rsid w:val="002B26DE"/>
    <w:rsid w:val="002D09C5"/>
    <w:rsid w:val="002D0C9E"/>
    <w:rsid w:val="002D0DC6"/>
    <w:rsid w:val="002E458D"/>
    <w:rsid w:val="002F2071"/>
    <w:rsid w:val="0031539C"/>
    <w:rsid w:val="00315828"/>
    <w:rsid w:val="00315F6C"/>
    <w:rsid w:val="00315FEE"/>
    <w:rsid w:val="003220EA"/>
    <w:rsid w:val="003257E0"/>
    <w:rsid w:val="00350BEC"/>
    <w:rsid w:val="00361DCC"/>
    <w:rsid w:val="00381EEB"/>
    <w:rsid w:val="0038240A"/>
    <w:rsid w:val="00385DAE"/>
    <w:rsid w:val="0038668C"/>
    <w:rsid w:val="00387618"/>
    <w:rsid w:val="003A3B71"/>
    <w:rsid w:val="003A7B4C"/>
    <w:rsid w:val="003B11E4"/>
    <w:rsid w:val="003B3303"/>
    <w:rsid w:val="003C218F"/>
    <w:rsid w:val="003C2D66"/>
    <w:rsid w:val="003D4E9F"/>
    <w:rsid w:val="003D72AB"/>
    <w:rsid w:val="003E6815"/>
    <w:rsid w:val="004075F7"/>
    <w:rsid w:val="00430455"/>
    <w:rsid w:val="004337F1"/>
    <w:rsid w:val="00440B65"/>
    <w:rsid w:val="00444BD4"/>
    <w:rsid w:val="00445299"/>
    <w:rsid w:val="00451936"/>
    <w:rsid w:val="00463665"/>
    <w:rsid w:val="00465979"/>
    <w:rsid w:val="00472264"/>
    <w:rsid w:val="00477421"/>
    <w:rsid w:val="004841C2"/>
    <w:rsid w:val="00485CEB"/>
    <w:rsid w:val="00495B03"/>
    <w:rsid w:val="004B18CB"/>
    <w:rsid w:val="004B3646"/>
    <w:rsid w:val="004B68EC"/>
    <w:rsid w:val="004B7202"/>
    <w:rsid w:val="004D677C"/>
    <w:rsid w:val="004D766F"/>
    <w:rsid w:val="004E10CF"/>
    <w:rsid w:val="004E4C4A"/>
    <w:rsid w:val="00504B3B"/>
    <w:rsid w:val="00512C9C"/>
    <w:rsid w:val="00532A7A"/>
    <w:rsid w:val="00533110"/>
    <w:rsid w:val="00543BCF"/>
    <w:rsid w:val="005466B5"/>
    <w:rsid w:val="00550DE6"/>
    <w:rsid w:val="00552713"/>
    <w:rsid w:val="00561756"/>
    <w:rsid w:val="00562ECC"/>
    <w:rsid w:val="00563F4E"/>
    <w:rsid w:val="00570513"/>
    <w:rsid w:val="00571F23"/>
    <w:rsid w:val="00573637"/>
    <w:rsid w:val="00584DC7"/>
    <w:rsid w:val="005A0C1E"/>
    <w:rsid w:val="005A3CAA"/>
    <w:rsid w:val="005B1D9A"/>
    <w:rsid w:val="005D2A6F"/>
    <w:rsid w:val="005E0F06"/>
    <w:rsid w:val="005E2DE2"/>
    <w:rsid w:val="005E4076"/>
    <w:rsid w:val="00601ABF"/>
    <w:rsid w:val="00603D44"/>
    <w:rsid w:val="00613D63"/>
    <w:rsid w:val="00623EE1"/>
    <w:rsid w:val="00626600"/>
    <w:rsid w:val="006356D8"/>
    <w:rsid w:val="0064484C"/>
    <w:rsid w:val="00667F69"/>
    <w:rsid w:val="006706F6"/>
    <w:rsid w:val="00671CCE"/>
    <w:rsid w:val="00672AA4"/>
    <w:rsid w:val="00672C82"/>
    <w:rsid w:val="00677B81"/>
    <w:rsid w:val="006C07C3"/>
    <w:rsid w:val="006C0D4F"/>
    <w:rsid w:val="006C2685"/>
    <w:rsid w:val="006C38EA"/>
    <w:rsid w:val="006C5FBA"/>
    <w:rsid w:val="006D03DE"/>
    <w:rsid w:val="006D1DD4"/>
    <w:rsid w:val="006D3BB9"/>
    <w:rsid w:val="006E133F"/>
    <w:rsid w:val="006F2621"/>
    <w:rsid w:val="006F4077"/>
    <w:rsid w:val="006F7FFA"/>
    <w:rsid w:val="00701092"/>
    <w:rsid w:val="0071331C"/>
    <w:rsid w:val="0071578B"/>
    <w:rsid w:val="00715AE5"/>
    <w:rsid w:val="0071724B"/>
    <w:rsid w:val="00731DE6"/>
    <w:rsid w:val="0073439B"/>
    <w:rsid w:val="00734535"/>
    <w:rsid w:val="00743193"/>
    <w:rsid w:val="00752B62"/>
    <w:rsid w:val="007543AB"/>
    <w:rsid w:val="00755F34"/>
    <w:rsid w:val="007573C8"/>
    <w:rsid w:val="007716C5"/>
    <w:rsid w:val="007833CB"/>
    <w:rsid w:val="0078791B"/>
    <w:rsid w:val="00792B62"/>
    <w:rsid w:val="0079767F"/>
    <w:rsid w:val="007A0902"/>
    <w:rsid w:val="007A4109"/>
    <w:rsid w:val="007B0334"/>
    <w:rsid w:val="007B1D80"/>
    <w:rsid w:val="007D3F13"/>
    <w:rsid w:val="007D4D52"/>
    <w:rsid w:val="007F1A23"/>
    <w:rsid w:val="00803E39"/>
    <w:rsid w:val="008067BB"/>
    <w:rsid w:val="00807910"/>
    <w:rsid w:val="00811A31"/>
    <w:rsid w:val="00817557"/>
    <w:rsid w:val="00825721"/>
    <w:rsid w:val="00831872"/>
    <w:rsid w:val="00853100"/>
    <w:rsid w:val="00863D2B"/>
    <w:rsid w:val="00883D02"/>
    <w:rsid w:val="008A36C0"/>
    <w:rsid w:val="008C0BDB"/>
    <w:rsid w:val="008F14B5"/>
    <w:rsid w:val="009001F0"/>
    <w:rsid w:val="00900B8B"/>
    <w:rsid w:val="00900C17"/>
    <w:rsid w:val="00902993"/>
    <w:rsid w:val="00912ADE"/>
    <w:rsid w:val="00931454"/>
    <w:rsid w:val="00934466"/>
    <w:rsid w:val="00954F49"/>
    <w:rsid w:val="0095525B"/>
    <w:rsid w:val="00960378"/>
    <w:rsid w:val="00962511"/>
    <w:rsid w:val="00962A88"/>
    <w:rsid w:val="00967BFC"/>
    <w:rsid w:val="00975D17"/>
    <w:rsid w:val="00981811"/>
    <w:rsid w:val="009822AD"/>
    <w:rsid w:val="00990860"/>
    <w:rsid w:val="00994116"/>
    <w:rsid w:val="009949CE"/>
    <w:rsid w:val="009A24C0"/>
    <w:rsid w:val="009B018A"/>
    <w:rsid w:val="009B50A5"/>
    <w:rsid w:val="009C3469"/>
    <w:rsid w:val="009D1667"/>
    <w:rsid w:val="009D39D2"/>
    <w:rsid w:val="009E5686"/>
    <w:rsid w:val="00A007FB"/>
    <w:rsid w:val="00A24CA2"/>
    <w:rsid w:val="00A47A91"/>
    <w:rsid w:val="00A655F6"/>
    <w:rsid w:val="00A70E4E"/>
    <w:rsid w:val="00A76D78"/>
    <w:rsid w:val="00A82651"/>
    <w:rsid w:val="00A855BF"/>
    <w:rsid w:val="00AB3D31"/>
    <w:rsid w:val="00AB7EE8"/>
    <w:rsid w:val="00AE212E"/>
    <w:rsid w:val="00AF6039"/>
    <w:rsid w:val="00B061BE"/>
    <w:rsid w:val="00B17777"/>
    <w:rsid w:val="00B204F3"/>
    <w:rsid w:val="00B568E0"/>
    <w:rsid w:val="00B62545"/>
    <w:rsid w:val="00B66C67"/>
    <w:rsid w:val="00B73CBC"/>
    <w:rsid w:val="00B74ED3"/>
    <w:rsid w:val="00B90D5F"/>
    <w:rsid w:val="00B91017"/>
    <w:rsid w:val="00BA141B"/>
    <w:rsid w:val="00BB1A24"/>
    <w:rsid w:val="00BB1B1C"/>
    <w:rsid w:val="00BB5CB5"/>
    <w:rsid w:val="00BC7513"/>
    <w:rsid w:val="00BE4267"/>
    <w:rsid w:val="00BE5B2A"/>
    <w:rsid w:val="00BF3F64"/>
    <w:rsid w:val="00C01827"/>
    <w:rsid w:val="00C12608"/>
    <w:rsid w:val="00C12922"/>
    <w:rsid w:val="00C13A46"/>
    <w:rsid w:val="00C16A9D"/>
    <w:rsid w:val="00C32152"/>
    <w:rsid w:val="00C37D0A"/>
    <w:rsid w:val="00C464BF"/>
    <w:rsid w:val="00C47E67"/>
    <w:rsid w:val="00C51E77"/>
    <w:rsid w:val="00C772DC"/>
    <w:rsid w:val="00C86C03"/>
    <w:rsid w:val="00CC0810"/>
    <w:rsid w:val="00CC0E97"/>
    <w:rsid w:val="00CC713E"/>
    <w:rsid w:val="00CD0829"/>
    <w:rsid w:val="00CE2814"/>
    <w:rsid w:val="00CF11F1"/>
    <w:rsid w:val="00CF7E90"/>
    <w:rsid w:val="00D023C9"/>
    <w:rsid w:val="00D102DF"/>
    <w:rsid w:val="00D246C2"/>
    <w:rsid w:val="00D30D7F"/>
    <w:rsid w:val="00D31E0C"/>
    <w:rsid w:val="00D33BF4"/>
    <w:rsid w:val="00D35526"/>
    <w:rsid w:val="00D36A0A"/>
    <w:rsid w:val="00D43B8E"/>
    <w:rsid w:val="00D51EA6"/>
    <w:rsid w:val="00D563EA"/>
    <w:rsid w:val="00D62EC0"/>
    <w:rsid w:val="00D7492B"/>
    <w:rsid w:val="00D80F95"/>
    <w:rsid w:val="00D97689"/>
    <w:rsid w:val="00DC6526"/>
    <w:rsid w:val="00DC7FBE"/>
    <w:rsid w:val="00DD4979"/>
    <w:rsid w:val="00DD7923"/>
    <w:rsid w:val="00DE63F0"/>
    <w:rsid w:val="00DF4761"/>
    <w:rsid w:val="00E10C1B"/>
    <w:rsid w:val="00E23527"/>
    <w:rsid w:val="00E371C6"/>
    <w:rsid w:val="00E4242A"/>
    <w:rsid w:val="00E513F7"/>
    <w:rsid w:val="00E65448"/>
    <w:rsid w:val="00E65D6D"/>
    <w:rsid w:val="00E70BFB"/>
    <w:rsid w:val="00E85219"/>
    <w:rsid w:val="00E94351"/>
    <w:rsid w:val="00E979C5"/>
    <w:rsid w:val="00EA0730"/>
    <w:rsid w:val="00EA2D3E"/>
    <w:rsid w:val="00EA4737"/>
    <w:rsid w:val="00EC088C"/>
    <w:rsid w:val="00EC2F72"/>
    <w:rsid w:val="00ED7C75"/>
    <w:rsid w:val="00EE1BC5"/>
    <w:rsid w:val="00EF0530"/>
    <w:rsid w:val="00F172C7"/>
    <w:rsid w:val="00F21A78"/>
    <w:rsid w:val="00F27F15"/>
    <w:rsid w:val="00F35D6E"/>
    <w:rsid w:val="00F41ECB"/>
    <w:rsid w:val="00F42749"/>
    <w:rsid w:val="00F5488A"/>
    <w:rsid w:val="00F6151C"/>
    <w:rsid w:val="00F73D43"/>
    <w:rsid w:val="00F73E63"/>
    <w:rsid w:val="00F873E2"/>
    <w:rsid w:val="00F92B87"/>
    <w:rsid w:val="00FD1284"/>
    <w:rsid w:val="00FD38A5"/>
    <w:rsid w:val="00FE29FF"/>
    <w:rsid w:val="00FF0F13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95738"/>
  <w15:docId w15:val="{74278392-B70D-4366-A696-C1C442A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2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5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C7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D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0DC6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rsid w:val="00A8265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74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49"/>
    <w:rPr>
      <w:sz w:val="22"/>
      <w:szCs w:val="22"/>
    </w:rPr>
  </w:style>
  <w:style w:type="character" w:customStyle="1" w:styleId="field-content">
    <w:name w:val="field-content"/>
    <w:basedOn w:val="DefaultParagraphFont"/>
    <w:rsid w:val="00981811"/>
  </w:style>
  <w:style w:type="character" w:styleId="Emphasis">
    <w:name w:val="Emphasis"/>
    <w:basedOn w:val="DefaultParagraphFont"/>
    <w:uiPriority w:val="20"/>
    <w:qFormat/>
    <w:rsid w:val="00B62545"/>
    <w:rPr>
      <w:b/>
      <w:bCs/>
      <w:i w:val="0"/>
      <w:iCs w:val="0"/>
    </w:rPr>
  </w:style>
  <w:style w:type="character" w:customStyle="1" w:styleId="st1">
    <w:name w:val="st1"/>
    <w:basedOn w:val="DefaultParagraphFont"/>
    <w:rsid w:val="00B62545"/>
  </w:style>
  <w:style w:type="character" w:customStyle="1" w:styleId="comment-copy">
    <w:name w:val="comment-copy"/>
    <w:basedOn w:val="DefaultParagraphFont"/>
    <w:rsid w:val="00DC6526"/>
  </w:style>
  <w:style w:type="paragraph" w:styleId="NoSpacing">
    <w:name w:val="No Spacing"/>
    <w:uiPriority w:val="1"/>
    <w:qFormat/>
    <w:rsid w:val="005466B5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62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xplainthatstuff.com/glas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culpublic</dc:creator>
  <cp:lastModifiedBy>jeanjecha</cp:lastModifiedBy>
  <cp:revision>44</cp:revision>
  <dcterms:created xsi:type="dcterms:W3CDTF">2016-11-09T05:00:00Z</dcterms:created>
  <dcterms:modified xsi:type="dcterms:W3CDTF">2016-11-12T14:49:00Z</dcterms:modified>
</cp:coreProperties>
</file>