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sz w:val="24"/>
          <w:szCs w:val="24"/>
        </w:rPr>
        <w:t xml:space="preserve">FILING OF INTELLIEGENCE AND INVESTIGATION UNDER GST ACT, 2017 ( AS PER SOP 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650"/>
        <w:gridCol w:w="1900"/>
        <w:gridCol w:w="3138"/>
      </w:tblGrid>
      <w:tr>
        <w:trPr>
          <w:cantSplit w:val="false"/>
          <w:trHeight w:val="42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Sl.No.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 of Checklist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 of the Case</w:t>
            </w:r>
          </w:p>
        </w:tc>
      </w:tr>
      <w:tr>
        <w:trPr>
          <w:cantSplit w:val="false"/>
          <w:trHeight w:val="78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Whether the tax payer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registered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unregistered? If registered GSTIN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[[registration]]</w:t>
            </w:r>
          </w:p>
        </w:tc>
      </w:tr>
      <w:tr>
        <w:trPr>
          <w:cantSplit w:val="false"/>
          <w:trHeight w:val="10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Registration Status ( Active / Inactive / Suo-moto Cancelled, if so Date of Suo-moto Cancellation)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[[registration_status]]</w:t>
            </w:r>
          </w:p>
        </w:tc>
      </w:tr>
      <w:tr>
        <w:trPr>
          <w:cantSplit w:val="false"/>
          <w:trHeight w:val="62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CENTER or STATE Jurisdiction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[[jurisdiction]]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the tax payer belongs to "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CENTER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 Jurisdiction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Zone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[[centre.zone]]</w:t>
            </w:r>
          </w:p>
        </w:tc>
      </w:tr>
      <w:tr>
        <w:trPr>
          <w:cantSplit w:val="false"/>
          <w:trHeight w:val="3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Commissionerate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[[centre.commissionerate]]</w:t>
            </w:r>
          </w:p>
        </w:tc>
      </w:tr>
      <w:tr>
        <w:trPr>
          <w:cantSplit w:val="false"/>
          <w:trHeight w:val="3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Division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[[centre.division]]</w:t>
            </w:r>
          </w:p>
        </w:tc>
      </w:tr>
      <w:tr>
        <w:trPr>
          <w:cantSplit w:val="false"/>
          <w:trHeight w:val="3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Range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[[centre.range]]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the tax payer belongs to "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 Jurisdiction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Division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[[state.division]]</w:t>
            </w:r>
          </w:p>
        </w:tc>
      </w:tr>
      <w:tr>
        <w:trPr>
          <w:cantSplit w:val="false"/>
          <w:trHeight w:val="3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Zone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[[state.zone]]</w:t>
            </w:r>
          </w:p>
        </w:tc>
      </w:tr>
      <w:tr>
        <w:trPr>
          <w:cantSplit w:val="false"/>
          <w:trHeight w:val="3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Circle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[[state.circle]]</w:t>
            </w:r>
          </w:p>
        </w:tc>
      </w:tr>
      <w:tr>
        <w:trPr>
          <w:cantSplit w:val="false"/>
          <w:trHeight w:val="78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 of Any Prior Action Taken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(Yes / No ) If "Yes"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 and Period Involved.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[[prior_action]]</w:t>
            </w:r>
          </w:p>
        </w:tc>
      </w:tr>
      <w:tr>
        <w:trPr>
          <w:cantSplit w:val="false"/>
          <w:trHeight w:val="78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Tax Paying Pattern - Return filing regularity ( Monthly / Quarterly )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[[tax_paying_pattern]]</w:t>
            </w:r>
          </w:p>
        </w:tc>
      </w:tr>
      <w:tr>
        <w:trPr>
          <w:cantSplit w:val="false"/>
          <w:trHeight w:val="36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Cash - Credit Ratio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[[cash_credit_ratio]]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HSN / SAC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[[hsn_sac]]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Applicable Tax Rates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[[tax_rates]]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Exemptions with Conditions if any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[[exemptions]]</w:t>
            </w:r>
          </w:p>
        </w:tc>
      </w:tr>
      <w:tr>
        <w:trPr>
          <w:cantSplit w:val="false"/>
          <w:trHeight w:val="34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Description of Goods / Services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[[goods_services]]</w:t>
            </w:r>
          </w:p>
        </w:tc>
      </w:tr>
      <w:tr>
        <w:trPr>
          <w:cantSplit w:val="false"/>
          <w:trHeight w:val="23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Intelligence data based on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GSTN Back Office/GST Prime/BIFA/e-way Bills/Income Tax /TDS or TCS Records/MCA Filings/Banking and Utility Data/Open-Source/e-Commerce information/ supplemented by Modus Operandi Circulars /Informer Inputs/Complaints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[[intelligence_sources]]</w:t>
            </w:r>
          </w:p>
        </w:tc>
      </w:tr>
      <w:tr>
        <w:trPr>
          <w:cantSplit w:val="false"/>
          <w:trHeight w:val="32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If the tax payer is a registered person, detection is related with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Clandestine Supply(Sales Suppression, Unbilled Transactions)/ Ineligible ITC Availment  (Fake Invoicing, Third-Party Billing / Section 16/17(2) Violations) / Misclassification/Undervaluation/ Notification Misuse.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[[detection_registered]]</w:t>
            </w:r>
          </w:p>
        </w:tc>
      </w:tr>
      <w:tr>
        <w:trPr>
          <w:cantSplit w:val="false"/>
          <w:trHeight w:val="32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If the tax payer is a un-registered person, detection is related with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PAN-based on ITR or TDS data/MCA records /e-Way Bill Patterns/e-Commerce Seller Data/Banking Turnover/Utility/Trade Licence Records Help Identify Businesses Operating Outside the Tax Net despite crossing the registration threshold, while counter party GSTR-1/e-way bill data can flag continued operations on cancelled or surrendered GSTINs.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[[detection_unregistered]]</w:t>
            </w:r>
          </w:p>
        </w:tc>
      </w:tr>
      <w:tr>
        <w:trPr>
          <w:cantSplit w:val="false"/>
          <w:trHeight w:val="15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The above said corroborated indicators support enforcement action under Section 22 and 24 of the CGST Act. 2017 against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Non-Registration/Post-Cancellation Business Continuation/Return/Tax-payment Defaults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[[enforcement_sec_22_24]]</w:t>
            </w:r>
          </w:p>
        </w:tc>
      </w:tr>
      <w:tr>
        <w:trPr>
          <w:cantSplit w:val="false"/>
          <w:trHeight w:val="36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Modus Operandi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[[modus_operandi]]</w:t>
            </w:r>
          </w:p>
        </w:tc>
      </w:tr>
      <w:tr>
        <w:trPr>
          <w:cantSplit w:val="false"/>
          <w:trHeight w:val="36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Brief Facts of the Case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[[brief_facts]]</w:t>
            </w:r>
          </w:p>
        </w:tc>
      </w:tr>
      <w:tr>
        <w:trPr>
          <w:cantSplit w:val="false"/>
          <w:trHeight w:val="7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Tax Evasion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(Rs. in Lakhs - Approximately)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[[expected_evasion_lakhs]]</w:t>
            </w:r>
          </w:p>
        </w:tc>
      </w:tr>
      <w:tr>
        <w:trPr>
          <w:cantSplit w:val="false"/>
          <w:trHeight w:val="1500" w:hRule="atLeast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3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Mode of Investigation Requested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Letter /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Summons /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Inspection (Form GST-INS-01) /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Search (Form-GST-INS-02)</w:t>
            </w:r>
          </w:p>
        </w:tc>
        <w:tc>
          <w:tcPr>
            <w:tcW w:type="dxa" w:w="50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[[mode_of_investigation]]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CGST Letter Drafter</dc:creator>
  <cp:lastModifiedBy>CGST Letter Drafter</cp:lastModifiedBy>
  <cp:revision>1</cp:revision>
  <dcterms:created xsi:type="dcterms:W3CDTF">2026-10-16T07:29:24.466Z</dcterms:created>
  <dcterms:modified xsi:type="dcterms:W3CDTF">2026-10-16T07:29:24.466Z</dcterms:modified>
  <dc:title/>
  <dc:description/>
  <cp:keywords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