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03E41" w14:textId="5A5D8EA1" w:rsidR="00F508D8" w:rsidRPr="00F508D8" w:rsidRDefault="00F508D8" w:rsidP="00184F2A">
      <w:pPr>
        <w:pStyle w:val="Heading1"/>
      </w:pPr>
      <w:r w:rsidRPr="00F508D8">
        <w:t>Part A — Design</w:t>
      </w:r>
      <w:r w:rsidR="00151BF7">
        <w:t>-</w:t>
      </w:r>
      <w:r w:rsidR="00184F2A">
        <w:t xml:space="preserve"> </w:t>
      </w:r>
      <w:r w:rsidR="00184F2A" w:rsidRPr="00184F2A">
        <w:t>Canonical event-driven commerce platform enabling independent billing and fulfillment migration to Azure with full auditability and replay</w:t>
      </w:r>
    </w:p>
    <w:p w14:paraId="01C12A0B" w14:textId="77777777" w:rsidR="00F508D8" w:rsidRPr="00F508D8" w:rsidRDefault="00F508D8" w:rsidP="00184F2A">
      <w:pPr>
        <w:pStyle w:val="Heading2"/>
      </w:pPr>
      <w:r w:rsidRPr="00F508D8">
        <w:t>Commerce Transaction Platform (Monolith to Azure Migration)</w:t>
      </w:r>
    </w:p>
    <w:p w14:paraId="6A76A715" w14:textId="77777777" w:rsidR="00F508D8" w:rsidRDefault="00F508D8" w:rsidP="00184F2A">
      <w:pPr>
        <w:pStyle w:val="Heading2"/>
      </w:pPr>
      <w:r w:rsidRPr="00F508D8">
        <w:t>Reference Architecture Diagram</w:t>
      </w:r>
    </w:p>
    <w:p w14:paraId="6399A0DA" w14:textId="77777777" w:rsidR="00184F2A" w:rsidRDefault="00F508D8" w:rsidP="00184F2A">
      <w:pPr>
        <w:keepNext/>
      </w:pPr>
      <w:r>
        <w:rPr>
          <w:noProof/>
        </w:rPr>
        <w:drawing>
          <wp:inline distT="0" distB="0" distL="0" distR="0" wp14:anchorId="1F3D1103" wp14:editId="15F2848A">
            <wp:extent cx="3938588" cy="2038193"/>
            <wp:effectExtent l="0" t="0" r="5080" b="635"/>
            <wp:docPr id="1661034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34993" name=""/>
                    <pic:cNvPicPr/>
                  </pic:nvPicPr>
                  <pic:blipFill>
                    <a:blip r:embed="rId5"/>
                    <a:stretch>
                      <a:fillRect/>
                    </a:stretch>
                  </pic:blipFill>
                  <pic:spPr>
                    <a:xfrm>
                      <a:off x="0" y="0"/>
                      <a:ext cx="3997134" cy="2068490"/>
                    </a:xfrm>
                    <a:prstGeom prst="rect">
                      <a:avLst/>
                    </a:prstGeom>
                  </pic:spPr>
                </pic:pic>
              </a:graphicData>
            </a:graphic>
          </wp:inline>
        </w:drawing>
      </w:r>
    </w:p>
    <w:p w14:paraId="65BFC953" w14:textId="661266A5" w:rsidR="00F508D8" w:rsidRPr="00F508D8" w:rsidRDefault="00184F2A" w:rsidP="00184F2A">
      <w:pPr>
        <w:pStyle w:val="Caption"/>
        <w:rPr>
          <w:b/>
          <w:bCs/>
        </w:rPr>
      </w:pPr>
      <w:r>
        <w:t xml:space="preserve">Figure </w:t>
      </w:r>
      <w:fldSimple w:instr=" SEQ Figure \* ARABIC ">
        <w:r>
          <w:rPr>
            <w:noProof/>
          </w:rPr>
          <w:t>1</w:t>
        </w:r>
      </w:fldSimple>
      <w:r>
        <w:t xml:space="preserve"> Reference Architecture</w:t>
      </w:r>
    </w:p>
    <w:p w14:paraId="64F4CE95" w14:textId="77777777" w:rsidR="00F508D8" w:rsidRPr="00F508D8" w:rsidRDefault="00F508D8" w:rsidP="00F508D8">
      <w:r w:rsidRPr="00F508D8">
        <w:rPr>
          <w:b/>
          <w:bCs/>
        </w:rPr>
        <w:t>External Partner Sources → Source Adapters → Canonical Commerce Events → Core Transaction Logic → Hybrid Capability Migration → Audit &amp; Reconciliation</w:t>
      </w:r>
    </w:p>
    <w:p w14:paraId="1EA627F0" w14:textId="77777777" w:rsidR="00F508D8" w:rsidRPr="00F508D8" w:rsidRDefault="00D674AF" w:rsidP="00F508D8">
      <w:r>
        <w:pict w14:anchorId="736EBE69">
          <v:rect id="_x0000_i1025" style="width:0;height:1.5pt" o:hralign="center" o:hrstd="t" o:hr="t" fillcolor="#a0a0a0" stroked="f"/>
        </w:pict>
      </w:r>
    </w:p>
    <w:p w14:paraId="6756D4B0" w14:textId="77777777" w:rsidR="00F508D8" w:rsidRPr="00F508D8" w:rsidRDefault="00F508D8" w:rsidP="00F508D8">
      <w:pPr>
        <w:rPr>
          <w:b/>
          <w:bCs/>
        </w:rPr>
      </w:pPr>
      <w:r w:rsidRPr="00F508D8">
        <w:rPr>
          <w:b/>
          <w:bCs/>
        </w:rPr>
        <w:t>Written Explanation</w:t>
      </w:r>
    </w:p>
    <w:p w14:paraId="092A4E1D" w14:textId="77777777" w:rsidR="00F508D8" w:rsidRPr="00F508D8" w:rsidRDefault="00F508D8" w:rsidP="00F508D8">
      <w:pPr>
        <w:rPr>
          <w:b/>
          <w:bCs/>
        </w:rPr>
      </w:pPr>
      <w:r w:rsidRPr="00F508D8">
        <w:rPr>
          <w:b/>
          <w:bCs/>
        </w:rPr>
        <w:t>Platform Approach</w:t>
      </w:r>
    </w:p>
    <w:p w14:paraId="370370C6" w14:textId="61770F67" w:rsidR="00F508D8" w:rsidRPr="00F508D8" w:rsidRDefault="00F508D8" w:rsidP="00F508D8">
      <w:r w:rsidRPr="00F508D8">
        <w:t xml:space="preserve">This design treats the commerce system as a </w:t>
      </w:r>
      <w:r w:rsidRPr="00F508D8">
        <w:rPr>
          <w:b/>
          <w:bCs/>
        </w:rPr>
        <w:t>platform</w:t>
      </w:r>
      <w:r w:rsidRPr="00F508D8">
        <w:t xml:space="preserve">, not a set of point-to-point integrations. </w:t>
      </w:r>
      <w:r w:rsidR="00184F2A" w:rsidRPr="00F508D8">
        <w:t>Architecture</w:t>
      </w:r>
      <w:r w:rsidRPr="00F508D8">
        <w:t xml:space="preserve"> isolates </w:t>
      </w:r>
      <w:r w:rsidRPr="00F508D8">
        <w:rPr>
          <w:b/>
          <w:bCs/>
        </w:rPr>
        <w:t>partner variability at the edges</w:t>
      </w:r>
      <w:r w:rsidRPr="00F508D8">
        <w:t xml:space="preserve"> while keeping </w:t>
      </w:r>
      <w:r w:rsidRPr="00F508D8">
        <w:rPr>
          <w:b/>
          <w:bCs/>
        </w:rPr>
        <w:t>transaction semantics stable at the core</w:t>
      </w:r>
      <w:r w:rsidRPr="00F508D8">
        <w:t>, enabling correctness, auditability, and incremental modernization.</w:t>
      </w:r>
    </w:p>
    <w:p w14:paraId="1A0A254A" w14:textId="77777777" w:rsidR="00F508D8" w:rsidRPr="00F508D8" w:rsidRDefault="00D674AF" w:rsidP="00F508D8">
      <w:r>
        <w:pict w14:anchorId="7A8BBB27">
          <v:rect id="_x0000_i1026" style="width:0;height:1.5pt" o:hralign="center" o:hrstd="t" o:hr="t" fillcolor="#a0a0a0" stroked="f"/>
        </w:pict>
      </w:r>
    </w:p>
    <w:p w14:paraId="124534B1" w14:textId="77777777" w:rsidR="00F508D8" w:rsidRPr="00F508D8" w:rsidRDefault="00F508D8" w:rsidP="00F508D8">
      <w:pPr>
        <w:rPr>
          <w:b/>
          <w:bCs/>
        </w:rPr>
      </w:pPr>
      <w:r w:rsidRPr="00F508D8">
        <w:rPr>
          <w:b/>
          <w:bCs/>
        </w:rPr>
        <w:t>Separation of Source Interpretation from Core Logic</w:t>
      </w:r>
    </w:p>
    <w:p w14:paraId="0403359C" w14:textId="77777777" w:rsidR="00F508D8" w:rsidRPr="00F508D8" w:rsidRDefault="00F508D8" w:rsidP="00F508D8">
      <w:r w:rsidRPr="00F508D8">
        <w:t xml:space="preserve">Each external partner is handled through a </w:t>
      </w:r>
      <w:r w:rsidRPr="00F508D8">
        <w:rPr>
          <w:b/>
          <w:bCs/>
        </w:rPr>
        <w:t>source-specific adapter</w:t>
      </w:r>
      <w:r w:rsidRPr="00F508D8">
        <w:t xml:space="preserve"> responsible for parsing files, validating structure, and interpreting partner-specific semantics. Adapters contain no billing or fulfillment logic and may evolve independently as partner schemas change.</w:t>
      </w:r>
    </w:p>
    <w:p w14:paraId="0A2C43D8" w14:textId="77777777" w:rsidR="00F508D8" w:rsidRPr="00F508D8" w:rsidRDefault="00F508D8" w:rsidP="00F508D8">
      <w:r w:rsidRPr="00F508D8">
        <w:t xml:space="preserve">Interpreted data is converted into a </w:t>
      </w:r>
      <w:r w:rsidRPr="00F508D8">
        <w:rPr>
          <w:b/>
          <w:bCs/>
        </w:rPr>
        <w:t>canonical commerce event model</w:t>
      </w:r>
      <w:r w:rsidRPr="00F508D8">
        <w:t xml:space="preserve"> that represents stable business intent (orders, order items, refunds, fees, and adjustments). All downstream processing operates exclusively on this canonical representation, ensuring that partner-specific differences never leak into core transaction logic.</w:t>
      </w:r>
    </w:p>
    <w:p w14:paraId="5F336259" w14:textId="77777777" w:rsidR="00F508D8" w:rsidRPr="00F508D8" w:rsidRDefault="00D674AF" w:rsidP="00F508D8">
      <w:r>
        <w:lastRenderedPageBreak/>
        <w:pict w14:anchorId="5D97AE7E">
          <v:rect id="_x0000_i1027" style="width:0;height:1.5pt" o:hralign="center" o:hrstd="t" o:hr="t" fillcolor="#a0a0a0" stroked="f"/>
        </w:pict>
      </w:r>
    </w:p>
    <w:p w14:paraId="5150E8F7" w14:textId="77777777" w:rsidR="00F508D8" w:rsidRPr="00F508D8" w:rsidRDefault="00F508D8" w:rsidP="00F508D8">
      <w:pPr>
        <w:rPr>
          <w:b/>
          <w:bCs/>
        </w:rPr>
      </w:pPr>
      <w:r w:rsidRPr="00F508D8">
        <w:rPr>
          <w:b/>
          <w:bCs/>
        </w:rPr>
        <w:t>Canonical Representation</w:t>
      </w:r>
    </w:p>
    <w:p w14:paraId="28063681" w14:textId="77777777" w:rsidR="00F508D8" w:rsidRPr="00F508D8" w:rsidRDefault="00F508D8" w:rsidP="00F508D8">
      <w:r w:rsidRPr="00F508D8">
        <w:t xml:space="preserve">The canonical model serves as a </w:t>
      </w:r>
      <w:r w:rsidRPr="00F508D8">
        <w:rPr>
          <w:b/>
          <w:bCs/>
        </w:rPr>
        <w:t>contract between ingestion and transaction processing</w:t>
      </w:r>
      <w:r w:rsidRPr="00F508D8">
        <w:t>. It decouples business meaning from file formats, supports versioning, and enables replay, correction, and audit. Canonical events are immutable and enriched with full lineage metadata (source, file identifier, row identifier, timestamps), allowing deterministic reprocessing and reconciliation.</w:t>
      </w:r>
    </w:p>
    <w:p w14:paraId="1165C67D" w14:textId="77777777" w:rsidR="00F508D8" w:rsidRPr="00F508D8" w:rsidRDefault="00D674AF" w:rsidP="00F508D8">
      <w:r>
        <w:pict w14:anchorId="1F0E0432">
          <v:rect id="_x0000_i1028" style="width:0;height:1.5pt" o:hralign="center" o:hrstd="t" o:hr="t" fillcolor="#a0a0a0" stroked="f"/>
        </w:pict>
      </w:r>
    </w:p>
    <w:p w14:paraId="087C51CD" w14:textId="769815D2" w:rsidR="00F508D8" w:rsidRPr="00F508D8" w:rsidRDefault="00A81012" w:rsidP="00F508D8">
      <w:pPr>
        <w:rPr>
          <w:b/>
          <w:bCs/>
        </w:rPr>
      </w:pPr>
      <w:r>
        <w:rPr>
          <w:b/>
          <w:bCs/>
        </w:rPr>
        <w:t xml:space="preserve">Azure </w:t>
      </w:r>
      <w:r w:rsidR="00F508D8" w:rsidRPr="00F508D8">
        <w:rPr>
          <w:b/>
          <w:bCs/>
        </w:rPr>
        <w:t>Event Hub vs Event Grid</w:t>
      </w:r>
    </w:p>
    <w:p w14:paraId="245AD547" w14:textId="77777777" w:rsidR="00F508D8" w:rsidRPr="00F508D8" w:rsidRDefault="00F508D8" w:rsidP="00F508D8">
      <w:r w:rsidRPr="00F508D8">
        <w:t xml:space="preserve">The authoritative transaction stream is implemented using </w:t>
      </w:r>
      <w:r w:rsidRPr="00F508D8">
        <w:rPr>
          <w:b/>
          <w:bCs/>
        </w:rPr>
        <w:t>Azure Event Hub</w:t>
      </w:r>
      <w:r w:rsidRPr="00F508D8">
        <w:t>. Event Hub is selected because the platform requires durable, high-throughput, ordered event streams with consumer-controlled replay to support billing correctness, reconciliation, and hybrid operation during migration.</w:t>
      </w:r>
    </w:p>
    <w:p w14:paraId="4BB4DA49" w14:textId="77777777" w:rsidR="00F508D8" w:rsidRPr="00F508D8" w:rsidRDefault="00F508D8" w:rsidP="00F508D8">
      <w:r w:rsidRPr="00F508D8">
        <w:rPr>
          <w:b/>
          <w:bCs/>
        </w:rPr>
        <w:t>Azure Event Grid</w:t>
      </w:r>
      <w:r w:rsidRPr="00F508D8">
        <w:t xml:space="preserve"> is intentionally not used as the system of record for transactions. Event Grid is better suited for reactive notifications and orchestration (e.g., signaling batch completion or triggering downstream workflows) and may complement Event Hub, but it does not provide the replay and durability guarantees required for financial transaction processing.</w:t>
      </w:r>
    </w:p>
    <w:p w14:paraId="74270605" w14:textId="77777777" w:rsidR="00F508D8" w:rsidRPr="00F508D8" w:rsidRDefault="00D674AF" w:rsidP="00F508D8">
      <w:r>
        <w:pict w14:anchorId="77C3C5A2">
          <v:rect id="_x0000_i1029" style="width:0;height:1.5pt" o:hralign="center" o:hrstd="t" o:hr="t" fillcolor="#a0a0a0" stroked="f"/>
        </w:pict>
      </w:r>
    </w:p>
    <w:p w14:paraId="181EF66A" w14:textId="77777777" w:rsidR="00F508D8" w:rsidRPr="00F508D8" w:rsidRDefault="00F508D8" w:rsidP="00F508D8">
      <w:pPr>
        <w:rPr>
          <w:b/>
          <w:bCs/>
        </w:rPr>
      </w:pPr>
      <w:r w:rsidRPr="00F508D8">
        <w:rPr>
          <w:b/>
          <w:bCs/>
        </w:rPr>
        <w:t>Auditability and Reconciliation</w:t>
      </w:r>
    </w:p>
    <w:p w14:paraId="76DFF913" w14:textId="77777777" w:rsidR="00F508D8" w:rsidRPr="00F508D8" w:rsidRDefault="00F508D8" w:rsidP="00F508D8">
      <w:r w:rsidRPr="00F508D8">
        <w:t xml:space="preserve">Auditability is achieved through immutable canonical events, raw source retention, and deterministic transformations. Reconciliation is supported by </w:t>
      </w:r>
      <w:proofErr w:type="spellStart"/>
      <w:r w:rsidRPr="00F508D8">
        <w:t>replayable</w:t>
      </w:r>
      <w:proofErr w:type="spellEnd"/>
      <w:r w:rsidRPr="00F508D8">
        <w:t xml:space="preserve"> ingestion pipelines, explicit correction events, and comparison of source totals to canonical aggregates. This ensures operational confidence and regulatory readiness without manual intervention.</w:t>
      </w:r>
    </w:p>
    <w:p w14:paraId="0963536E" w14:textId="77777777" w:rsidR="00F508D8" w:rsidRPr="00F508D8" w:rsidRDefault="00D674AF" w:rsidP="00F508D8">
      <w:r>
        <w:pict w14:anchorId="2C81BF08">
          <v:rect id="_x0000_i1030" style="width:0;height:1.5pt" o:hralign="center" o:hrstd="t" o:hr="t" fillcolor="#a0a0a0" stroked="f"/>
        </w:pict>
      </w:r>
    </w:p>
    <w:p w14:paraId="42844A73" w14:textId="77777777" w:rsidR="00F508D8" w:rsidRPr="00F508D8" w:rsidRDefault="00F508D8" w:rsidP="00F508D8">
      <w:pPr>
        <w:rPr>
          <w:b/>
          <w:bCs/>
        </w:rPr>
      </w:pPr>
      <w:r w:rsidRPr="00F508D8">
        <w:rPr>
          <w:b/>
          <w:bCs/>
        </w:rPr>
        <w:t>Monolith-to-Azure Migration (Billing First)</w:t>
      </w:r>
    </w:p>
    <w:p w14:paraId="6828ED0D" w14:textId="77777777" w:rsidR="00F508D8" w:rsidRPr="00F508D8" w:rsidRDefault="00F508D8" w:rsidP="00F508D8">
      <w:r w:rsidRPr="00F508D8">
        <w:t xml:space="preserve">To migrate billing to Azure while fulfillment remains on-prem, the monolith is refactored to introduce </w:t>
      </w:r>
      <w:r w:rsidRPr="00F508D8">
        <w:rPr>
          <w:b/>
          <w:bCs/>
        </w:rPr>
        <w:t>explicit capability boundaries</w:t>
      </w:r>
      <w:r w:rsidRPr="00F508D8">
        <w:t>. Shared in-process calls are replaced with event-driven or service-level interfaces so billing no longer depends on monolithic state.</w:t>
      </w:r>
    </w:p>
    <w:p w14:paraId="051AEC4F" w14:textId="77777777" w:rsidR="00F508D8" w:rsidRPr="00F508D8" w:rsidRDefault="00F508D8" w:rsidP="00F508D8">
      <w:r w:rsidRPr="00F508D8">
        <w:t xml:space="preserve">Fulfillment continues on-prem and publishes canonical events. Azure-based billing consumes the same events and evolves independently. Given intermittent connectivity, the system favors </w:t>
      </w:r>
      <w:r w:rsidRPr="00F508D8">
        <w:rPr>
          <w:b/>
          <w:bCs/>
        </w:rPr>
        <w:t>availability over strict consistency</w:t>
      </w:r>
      <w:r w:rsidRPr="00F508D8">
        <w:t>: fulfillment proceeds locally, and billing processes events asynchronously when connectivity resumes. Idempotent consumers prevent duplication.</w:t>
      </w:r>
    </w:p>
    <w:p w14:paraId="74E84B58" w14:textId="77777777" w:rsidR="00F508D8" w:rsidRPr="00F508D8" w:rsidRDefault="00F508D8" w:rsidP="00F508D8">
      <w:r w:rsidRPr="00F508D8">
        <w:t>Progressive cutover is achieved via dual publishing, shadow billing runs, and feature flags. Rollback is performed by disabling Azure consumers without impacting fulfillment, limiting blast radius and avoiding regressions.</w:t>
      </w:r>
    </w:p>
    <w:p w14:paraId="0E9F5519" w14:textId="77777777" w:rsidR="00F508D8" w:rsidRPr="00F508D8" w:rsidRDefault="00D674AF" w:rsidP="00F508D8">
      <w:r>
        <w:pict w14:anchorId="088A4E08">
          <v:rect id="_x0000_i1031" style="width:0;height:1.5pt" o:hralign="center" o:hrstd="t" o:hr="t" fillcolor="#a0a0a0" stroked="f"/>
        </w:pict>
      </w:r>
    </w:p>
    <w:p w14:paraId="119069BD" w14:textId="77777777" w:rsidR="00F508D8" w:rsidRPr="00F508D8" w:rsidRDefault="00F508D8" w:rsidP="00F508D8">
      <w:pPr>
        <w:rPr>
          <w:b/>
          <w:bCs/>
        </w:rPr>
      </w:pPr>
      <w:r w:rsidRPr="00F508D8">
        <w:rPr>
          <w:b/>
          <w:bCs/>
        </w:rPr>
        <w:t>Summary</w:t>
      </w:r>
    </w:p>
    <w:p w14:paraId="6C354057" w14:textId="77777777" w:rsidR="00F508D8" w:rsidRDefault="00F508D8" w:rsidP="00F508D8">
      <w:r w:rsidRPr="00F508D8">
        <w:lastRenderedPageBreak/>
        <w:t>By stabilizing the core around canonical events and absorbing change at the edges, this design enables rapid partner onboarding, safe hybrid migration, and long-term platform evolution without sacrificing correctness or auditability.</w:t>
      </w:r>
    </w:p>
    <w:p w14:paraId="45E871EE" w14:textId="77777777" w:rsidR="00A03DF5" w:rsidRPr="00F508D8" w:rsidRDefault="00A03DF5" w:rsidP="00F508D8"/>
    <w:p w14:paraId="0A005374" w14:textId="237F2F4E" w:rsidR="00A03DF5" w:rsidRDefault="00A03DF5" w:rsidP="00A03DF5">
      <w:pPr>
        <w:pStyle w:val="Heading1"/>
      </w:pPr>
      <w:r w:rsidRPr="00F508D8">
        <w:t xml:space="preserve">Part </w:t>
      </w:r>
      <w:r>
        <w:t>B</w:t>
      </w:r>
      <w:r w:rsidRPr="00F508D8">
        <w:t xml:space="preserve"> — </w:t>
      </w:r>
      <w:r w:rsidR="005D09D1" w:rsidRPr="005D09D1">
        <w:t>Order Normalization</w:t>
      </w:r>
    </w:p>
    <w:p w14:paraId="35DDA129" w14:textId="77777777" w:rsidR="00DD0F14" w:rsidRDefault="00DD0F14" w:rsidP="00DD0F14">
      <w:r>
        <w:t>This project normalizes heterogeneous order files from multiple external commerce systems into a canonical, item-level event format.</w:t>
      </w:r>
    </w:p>
    <w:p w14:paraId="127C6A47" w14:textId="77777777" w:rsidR="00DD0F14" w:rsidRDefault="00DD0F14" w:rsidP="00DD0F14">
      <w:r>
        <w:t>System A provides one row per order item, while System B embeds multiple SKUs within a single order row.</w:t>
      </w:r>
    </w:p>
    <w:p w14:paraId="4A05EB1A" w14:textId="2BB4C093" w:rsidR="00DD0F14" w:rsidRDefault="00DD0F14" w:rsidP="00DD0F14">
      <w:r>
        <w:t>Source-specific adapters transform each input into a unified “</w:t>
      </w:r>
      <w:proofErr w:type="spellStart"/>
      <w:r>
        <w:t>OrderItemCreated</w:t>
      </w:r>
      <w:proofErr w:type="spellEnd"/>
      <w:r>
        <w:t>” event model.</w:t>
      </w:r>
    </w:p>
    <w:p w14:paraId="60191EF5" w14:textId="77777777" w:rsidR="00DD0F14" w:rsidRDefault="00DD0F14" w:rsidP="00DD0F14">
      <w:r>
        <w:t>The solution is CLI-driven to mirror real-world batch ingestion pipelines.</w:t>
      </w:r>
    </w:p>
    <w:p w14:paraId="6BF2C844" w14:textId="4797F62E" w:rsidR="00DD0F14" w:rsidRPr="00DD0F14" w:rsidRDefault="00DD0F14" w:rsidP="00DD0F14">
      <w:r>
        <w:t>Run: “./run.sh line_item_orders.csv packed_orders.csv”</w:t>
      </w:r>
    </w:p>
    <w:p w14:paraId="7B72BFFC" w14:textId="334CED1A" w:rsidR="00093700" w:rsidRDefault="00093700" w:rsidP="0046001C">
      <w:pPr>
        <w:pStyle w:val="ListParagraph"/>
        <w:numPr>
          <w:ilvl w:val="0"/>
          <w:numId w:val="1"/>
        </w:numPr>
      </w:pPr>
      <w:r>
        <w:t>Extract all the files attached in the email</w:t>
      </w:r>
      <w:r w:rsidR="009C64F5">
        <w:t xml:space="preserve"> to a folder </w:t>
      </w:r>
      <w:proofErr w:type="gramStart"/>
      <w:r w:rsidR="009C1EFE">
        <w:t>similar to</w:t>
      </w:r>
      <w:proofErr w:type="gramEnd"/>
      <w:r w:rsidR="009C1EFE">
        <w:t xml:space="preserve"> shown below</w:t>
      </w:r>
      <w:r w:rsidR="00616E41">
        <w:t>.</w:t>
      </w:r>
      <w:r w:rsidR="00616E41" w:rsidRPr="00616E41">
        <w:rPr>
          <w:noProof/>
        </w:rPr>
        <w:t xml:space="preserve"> </w:t>
      </w:r>
      <w:r w:rsidR="00616E41">
        <w:rPr>
          <w:noProof/>
        </w:rPr>
        <w:drawing>
          <wp:inline distT="0" distB="0" distL="0" distR="0" wp14:anchorId="047E33CE" wp14:editId="0BA691FF">
            <wp:extent cx="6858000" cy="2204720"/>
            <wp:effectExtent l="0" t="0" r="0" b="5080"/>
            <wp:docPr id="1125281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281569" name=""/>
                    <pic:cNvPicPr/>
                  </pic:nvPicPr>
                  <pic:blipFill>
                    <a:blip r:embed="rId6"/>
                    <a:stretch>
                      <a:fillRect/>
                    </a:stretch>
                  </pic:blipFill>
                  <pic:spPr>
                    <a:xfrm>
                      <a:off x="0" y="0"/>
                      <a:ext cx="6858000" cy="2204720"/>
                    </a:xfrm>
                    <a:prstGeom prst="rect">
                      <a:avLst/>
                    </a:prstGeom>
                  </pic:spPr>
                </pic:pic>
              </a:graphicData>
            </a:graphic>
          </wp:inline>
        </w:drawing>
      </w:r>
    </w:p>
    <w:p w14:paraId="6B08FB8A" w14:textId="474D4C3E" w:rsidR="005D09D1" w:rsidRDefault="0046001C" w:rsidP="0046001C">
      <w:pPr>
        <w:pStyle w:val="ListParagraph"/>
        <w:numPr>
          <w:ilvl w:val="0"/>
          <w:numId w:val="1"/>
        </w:numPr>
      </w:pPr>
      <w:proofErr w:type="spellStart"/>
      <w:r w:rsidRPr="0046001C">
        <w:t>chmod</w:t>
      </w:r>
      <w:proofErr w:type="spellEnd"/>
      <w:r w:rsidRPr="0046001C">
        <w:t xml:space="preserve"> +x run.sh</w:t>
      </w:r>
      <w:r w:rsidR="00183D5F">
        <w:t>…as per the compress file attached in the ema</w:t>
      </w:r>
      <w:r w:rsidR="00A26E23">
        <w:t xml:space="preserve">il after extracting to a folder that is open in </w:t>
      </w:r>
      <w:proofErr w:type="spellStart"/>
      <w:r w:rsidR="00A26E23">
        <w:t>VSCode</w:t>
      </w:r>
      <w:proofErr w:type="spellEnd"/>
      <w:r w:rsidR="00A26E23">
        <w:t xml:space="preserve"> in </w:t>
      </w:r>
      <w:r w:rsidR="00511059">
        <w:t xml:space="preserve">Windows with python library </w:t>
      </w:r>
      <w:r w:rsidR="00717590">
        <w:t>installed</w:t>
      </w:r>
      <w:r w:rsidR="00511059">
        <w:t>.</w:t>
      </w:r>
    </w:p>
    <w:p w14:paraId="145EAFF7" w14:textId="3910F595" w:rsidR="00511059" w:rsidRDefault="00511059" w:rsidP="0046001C">
      <w:pPr>
        <w:pStyle w:val="ListParagraph"/>
        <w:numPr>
          <w:ilvl w:val="0"/>
          <w:numId w:val="1"/>
        </w:numPr>
      </w:pPr>
      <w:r>
        <w:t xml:space="preserve">In </w:t>
      </w:r>
      <w:proofErr w:type="spellStart"/>
      <w:r>
        <w:t>VSCode</w:t>
      </w:r>
      <w:proofErr w:type="spellEnd"/>
      <w:r>
        <w:t xml:space="preserve"> </w:t>
      </w:r>
      <w:r w:rsidR="00717590">
        <w:t xml:space="preserve">open the folder </w:t>
      </w:r>
      <w:r w:rsidR="00E2792A">
        <w:sym w:font="Wingdings" w:char="F0E8"/>
      </w:r>
      <w:r w:rsidR="00E2792A">
        <w:t xml:space="preserve"> Terminal </w:t>
      </w:r>
      <w:r w:rsidR="006A11AD">
        <w:t xml:space="preserve">Menu </w:t>
      </w:r>
      <w:r w:rsidR="006A11AD">
        <w:sym w:font="Wingdings" w:char="F0E8"/>
      </w:r>
      <w:r w:rsidR="006A11AD">
        <w:t xml:space="preserve">Select Bash </w:t>
      </w:r>
      <w:r w:rsidR="0080485D">
        <w:sym w:font="Wingdings" w:char="F0E8"/>
      </w:r>
      <w:r w:rsidR="0080485D">
        <w:t xml:space="preserve"> Run “</w:t>
      </w:r>
      <w:proofErr w:type="spellStart"/>
      <w:r w:rsidR="0080485D" w:rsidRPr="0080485D">
        <w:t>chmod</w:t>
      </w:r>
      <w:proofErr w:type="spellEnd"/>
      <w:r w:rsidR="0080485D" w:rsidRPr="0080485D">
        <w:t xml:space="preserve"> +x run.sh</w:t>
      </w:r>
      <w:r w:rsidR="0080485D">
        <w:t>”</w:t>
      </w:r>
    </w:p>
    <w:p w14:paraId="4B99CBA1" w14:textId="6D10F3A8" w:rsidR="0080485D" w:rsidRDefault="0080485D" w:rsidP="0046001C">
      <w:pPr>
        <w:pStyle w:val="ListParagraph"/>
        <w:numPr>
          <w:ilvl w:val="0"/>
          <w:numId w:val="1"/>
        </w:numPr>
      </w:pPr>
      <w:r>
        <w:t>Run</w:t>
      </w:r>
      <w:r w:rsidR="003B6767">
        <w:t xml:space="preserve"> “</w:t>
      </w:r>
      <w:r w:rsidR="003B6767" w:rsidRPr="003B6767">
        <w:t>./run.sh "Pre-work Material Orders_Source_A.csv" "Pre-work Material Orders_Source_B.csv"</w:t>
      </w:r>
    </w:p>
    <w:p w14:paraId="6B55EAA8" w14:textId="665C0FC7" w:rsidR="00E025BD" w:rsidRPr="005D09D1" w:rsidRDefault="00E025BD" w:rsidP="0046001C">
      <w:pPr>
        <w:pStyle w:val="ListParagraph"/>
        <w:numPr>
          <w:ilvl w:val="0"/>
          <w:numId w:val="1"/>
        </w:numPr>
      </w:pPr>
      <w:r>
        <w:t>You should see the following output as I have tested</w:t>
      </w:r>
      <w:r w:rsidR="00D0242D">
        <w:t>.</w:t>
      </w:r>
    </w:p>
    <w:p w14:paraId="6AFDB2D0" w14:textId="1E04437E" w:rsidR="00F508D8" w:rsidRDefault="00E26741">
      <w:r>
        <w:rPr>
          <w:noProof/>
        </w:rPr>
        <w:lastRenderedPageBreak/>
        <w:drawing>
          <wp:inline distT="0" distB="0" distL="0" distR="0" wp14:anchorId="249DF744" wp14:editId="43333270">
            <wp:extent cx="6858000" cy="3571875"/>
            <wp:effectExtent l="0" t="0" r="0" b="9525"/>
            <wp:docPr id="282246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46382" name=""/>
                    <pic:cNvPicPr/>
                  </pic:nvPicPr>
                  <pic:blipFill>
                    <a:blip r:embed="rId7"/>
                    <a:stretch>
                      <a:fillRect/>
                    </a:stretch>
                  </pic:blipFill>
                  <pic:spPr>
                    <a:xfrm>
                      <a:off x="0" y="0"/>
                      <a:ext cx="6858000" cy="3571875"/>
                    </a:xfrm>
                    <a:prstGeom prst="rect">
                      <a:avLst/>
                    </a:prstGeom>
                  </pic:spPr>
                </pic:pic>
              </a:graphicData>
            </a:graphic>
          </wp:inline>
        </w:drawing>
      </w:r>
    </w:p>
    <w:p w14:paraId="7354477D" w14:textId="03C70476" w:rsidR="002470C0" w:rsidRDefault="002470C0" w:rsidP="002470C0">
      <w:pPr>
        <w:pStyle w:val="Heading1"/>
      </w:pPr>
      <w:r w:rsidRPr="002470C0">
        <w:t>Clarifying questions – Risk Reduction</w:t>
      </w:r>
    </w:p>
    <w:p w14:paraId="35DA87AC" w14:textId="542AFB89" w:rsidR="002470C0" w:rsidRDefault="00CD4ADA" w:rsidP="002470C0">
      <w:r w:rsidRPr="00CD4ADA">
        <w:t>The solution demonstrates how heterogeneous partner inputs can be normalized into a stable canonical event model, enabling Fortegra to scale onboarding while retaining governance, auditability, and decision authority.</w:t>
      </w:r>
    </w:p>
    <w:p w14:paraId="712AC756" w14:textId="77777777" w:rsidR="00CD4ADA" w:rsidRPr="00CD4ADA" w:rsidRDefault="00CD4ADA" w:rsidP="00CD4ADA">
      <w:r w:rsidRPr="00CD4ADA">
        <w:rPr>
          <w:b/>
          <w:bCs/>
        </w:rPr>
        <w:t>Source &amp; Data Semantics</w:t>
      </w:r>
    </w:p>
    <w:p w14:paraId="112E1B31" w14:textId="77777777" w:rsidR="00CD4ADA" w:rsidRPr="00CD4ADA" w:rsidRDefault="00CD4ADA" w:rsidP="00CD4ADA">
      <w:pPr>
        <w:numPr>
          <w:ilvl w:val="1"/>
          <w:numId w:val="2"/>
        </w:numPr>
      </w:pPr>
      <w:r w:rsidRPr="00CD4ADA">
        <w:t xml:space="preserve">Are SKUs unique </w:t>
      </w:r>
      <w:r w:rsidRPr="00CD4ADA">
        <w:rPr>
          <w:b/>
          <w:bCs/>
        </w:rPr>
        <w:t>per partner, per program</w:t>
      </w:r>
      <w:r w:rsidRPr="00CD4ADA">
        <w:t xml:space="preserve">, or </w:t>
      </w:r>
      <w:r w:rsidRPr="00CD4ADA">
        <w:rPr>
          <w:b/>
          <w:bCs/>
        </w:rPr>
        <w:t>globally</w:t>
      </w:r>
      <w:r w:rsidRPr="00CD4ADA">
        <w:t>?</w:t>
      </w:r>
    </w:p>
    <w:p w14:paraId="30D5DE79" w14:textId="77777777" w:rsidR="00CD4ADA" w:rsidRPr="00CD4ADA" w:rsidRDefault="00CD4ADA" w:rsidP="00CD4ADA">
      <w:pPr>
        <w:numPr>
          <w:ilvl w:val="1"/>
          <w:numId w:val="2"/>
        </w:numPr>
      </w:pPr>
      <w:r w:rsidRPr="00CD4ADA">
        <w:t>Can a single order contain mixed product semantics?</w:t>
      </w:r>
    </w:p>
    <w:p w14:paraId="17C4A03A" w14:textId="77777777" w:rsidR="00CD4ADA" w:rsidRPr="00CD4ADA" w:rsidRDefault="00CD4ADA" w:rsidP="00CD4ADA">
      <w:pPr>
        <w:numPr>
          <w:ilvl w:val="1"/>
          <w:numId w:val="2"/>
        </w:numPr>
      </w:pPr>
      <w:r w:rsidRPr="00CD4ADA">
        <w:t>How should retired or renamed SKUs be handled?</w:t>
      </w:r>
    </w:p>
    <w:p w14:paraId="6D43837F" w14:textId="77777777" w:rsidR="00CD4ADA" w:rsidRPr="00CD4ADA" w:rsidRDefault="00CD4ADA" w:rsidP="00CD4ADA">
      <w:r w:rsidRPr="00CD4ADA">
        <w:rPr>
          <w:b/>
          <w:bCs/>
        </w:rPr>
        <w:t>Volume &amp; Latency</w:t>
      </w:r>
    </w:p>
    <w:p w14:paraId="52188257" w14:textId="77777777" w:rsidR="00CD4ADA" w:rsidRPr="00CD4ADA" w:rsidRDefault="00CD4ADA" w:rsidP="00CD4ADA">
      <w:pPr>
        <w:numPr>
          <w:ilvl w:val="1"/>
          <w:numId w:val="3"/>
        </w:numPr>
      </w:pPr>
      <w:r w:rsidRPr="00CD4ADA">
        <w:t>Expected peak order and item throughput per source?</w:t>
      </w:r>
    </w:p>
    <w:p w14:paraId="114D3054" w14:textId="77777777" w:rsidR="00CD4ADA" w:rsidRPr="00CD4ADA" w:rsidRDefault="00CD4ADA" w:rsidP="00CD4ADA">
      <w:pPr>
        <w:numPr>
          <w:ilvl w:val="1"/>
          <w:numId w:val="3"/>
        </w:numPr>
      </w:pPr>
      <w:r w:rsidRPr="00CD4ADA">
        <w:t>Batch vs near-real-time expectations?</w:t>
      </w:r>
    </w:p>
    <w:p w14:paraId="5943CF7F" w14:textId="77777777" w:rsidR="00CD4ADA" w:rsidRPr="00CD4ADA" w:rsidRDefault="00CD4ADA" w:rsidP="00CD4ADA">
      <w:pPr>
        <w:numPr>
          <w:ilvl w:val="1"/>
          <w:numId w:val="3"/>
        </w:numPr>
      </w:pPr>
      <w:r w:rsidRPr="00CD4ADA">
        <w:t xml:space="preserve">Replay windows and retention </w:t>
      </w:r>
      <w:proofErr w:type="gramStart"/>
      <w:r w:rsidRPr="00CD4ADA">
        <w:t>requirements?</w:t>
      </w:r>
      <w:proofErr w:type="gramEnd"/>
    </w:p>
    <w:p w14:paraId="197C11D5" w14:textId="77777777" w:rsidR="00CD4ADA" w:rsidRPr="00CD4ADA" w:rsidRDefault="00CD4ADA" w:rsidP="00CD4ADA">
      <w:r w:rsidRPr="00CD4ADA">
        <w:rPr>
          <w:b/>
          <w:bCs/>
        </w:rPr>
        <w:t>Governance &amp; Compliance</w:t>
      </w:r>
    </w:p>
    <w:p w14:paraId="47C4D1EC" w14:textId="77777777" w:rsidR="00CD4ADA" w:rsidRPr="00CD4ADA" w:rsidRDefault="00CD4ADA" w:rsidP="00CD4ADA">
      <w:pPr>
        <w:numPr>
          <w:ilvl w:val="1"/>
          <w:numId w:val="4"/>
        </w:numPr>
      </w:pPr>
      <w:r w:rsidRPr="00CD4ADA">
        <w:t>Regulatory retention and audit requirements?</w:t>
      </w:r>
    </w:p>
    <w:p w14:paraId="64B637C1" w14:textId="77777777" w:rsidR="00CD4ADA" w:rsidRPr="00CD4ADA" w:rsidRDefault="00CD4ADA" w:rsidP="00CD4ADA">
      <w:pPr>
        <w:numPr>
          <w:ilvl w:val="1"/>
          <w:numId w:val="4"/>
        </w:numPr>
      </w:pPr>
      <w:r w:rsidRPr="00CD4ADA">
        <w:t xml:space="preserve">Source-level SLAs and data quality </w:t>
      </w:r>
      <w:proofErr w:type="gramStart"/>
      <w:r w:rsidRPr="00CD4ADA">
        <w:t>expectations?</w:t>
      </w:r>
      <w:proofErr w:type="gramEnd"/>
    </w:p>
    <w:p w14:paraId="3D85CBF8" w14:textId="77777777" w:rsidR="00CD4ADA" w:rsidRPr="00CD4ADA" w:rsidRDefault="00CD4ADA" w:rsidP="00CD4ADA">
      <w:pPr>
        <w:numPr>
          <w:ilvl w:val="1"/>
          <w:numId w:val="4"/>
        </w:numPr>
      </w:pPr>
      <w:r w:rsidRPr="00CD4ADA">
        <w:t>How are disputes and corrections handled?</w:t>
      </w:r>
    </w:p>
    <w:p w14:paraId="50EEAF4D" w14:textId="77777777" w:rsidR="00CD4ADA" w:rsidRPr="00CD4ADA" w:rsidRDefault="00CD4ADA" w:rsidP="00CD4ADA">
      <w:r w:rsidRPr="00CD4ADA">
        <w:rPr>
          <w:b/>
          <w:bCs/>
        </w:rPr>
        <w:t>Platform Evolution</w:t>
      </w:r>
    </w:p>
    <w:p w14:paraId="6FC7FE60" w14:textId="77777777" w:rsidR="00CD4ADA" w:rsidRPr="00CD4ADA" w:rsidRDefault="00CD4ADA" w:rsidP="00CD4ADA">
      <w:pPr>
        <w:numPr>
          <w:ilvl w:val="1"/>
          <w:numId w:val="5"/>
        </w:numPr>
      </w:pPr>
      <w:r w:rsidRPr="00CD4ADA">
        <w:lastRenderedPageBreak/>
        <w:t>Expected cadence of new partner onboarding?</w:t>
      </w:r>
    </w:p>
    <w:p w14:paraId="6676AE2C" w14:textId="77777777" w:rsidR="00CD4ADA" w:rsidRPr="00CD4ADA" w:rsidRDefault="00CD4ADA" w:rsidP="00CD4ADA">
      <w:pPr>
        <w:numPr>
          <w:ilvl w:val="1"/>
          <w:numId w:val="5"/>
        </w:numPr>
      </w:pPr>
      <w:r w:rsidRPr="00CD4ADA">
        <w:t>Schema evolution tolerance (backward/forward compatibility)?</w:t>
      </w:r>
    </w:p>
    <w:p w14:paraId="7204AD37" w14:textId="77777777" w:rsidR="00CD4ADA" w:rsidRPr="00CD4ADA" w:rsidRDefault="00CD4ADA" w:rsidP="00CD4ADA">
      <w:pPr>
        <w:numPr>
          <w:ilvl w:val="1"/>
          <w:numId w:val="5"/>
        </w:numPr>
      </w:pPr>
      <w:r w:rsidRPr="00CD4ADA">
        <w:t>AI advisory vs decision authority boundaries?</w:t>
      </w:r>
    </w:p>
    <w:p w14:paraId="0353D587" w14:textId="77777777" w:rsidR="00CD4ADA" w:rsidRPr="002470C0" w:rsidRDefault="00CD4ADA" w:rsidP="002470C0"/>
    <w:p w14:paraId="3632DE0E" w14:textId="77777777" w:rsidR="00E26741" w:rsidRDefault="00E26741"/>
    <w:sectPr w:rsidR="00E26741" w:rsidSect="00F508D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32F88"/>
    <w:multiLevelType w:val="hybridMultilevel"/>
    <w:tmpl w:val="6A607EE0"/>
    <w:lvl w:ilvl="0" w:tplc="F52C4078">
      <w:start w:val="1"/>
      <w:numFmt w:val="bullet"/>
      <w:lvlText w:val="•"/>
      <w:lvlJc w:val="left"/>
      <w:pPr>
        <w:tabs>
          <w:tab w:val="num" w:pos="720"/>
        </w:tabs>
        <w:ind w:left="720" w:hanging="360"/>
      </w:pPr>
      <w:rPr>
        <w:rFonts w:ascii="Arial" w:hAnsi="Arial" w:hint="default"/>
      </w:rPr>
    </w:lvl>
    <w:lvl w:ilvl="1" w:tplc="C25860DC">
      <w:start w:val="1"/>
      <w:numFmt w:val="bullet"/>
      <w:lvlText w:val="•"/>
      <w:lvlJc w:val="left"/>
      <w:pPr>
        <w:tabs>
          <w:tab w:val="num" w:pos="1440"/>
        </w:tabs>
        <w:ind w:left="1440" w:hanging="360"/>
      </w:pPr>
      <w:rPr>
        <w:rFonts w:ascii="Arial" w:hAnsi="Arial" w:hint="default"/>
      </w:rPr>
    </w:lvl>
    <w:lvl w:ilvl="2" w:tplc="5BF67EAA" w:tentative="1">
      <w:start w:val="1"/>
      <w:numFmt w:val="bullet"/>
      <w:lvlText w:val="•"/>
      <w:lvlJc w:val="left"/>
      <w:pPr>
        <w:tabs>
          <w:tab w:val="num" w:pos="2160"/>
        </w:tabs>
        <w:ind w:left="2160" w:hanging="360"/>
      </w:pPr>
      <w:rPr>
        <w:rFonts w:ascii="Arial" w:hAnsi="Arial" w:hint="default"/>
      </w:rPr>
    </w:lvl>
    <w:lvl w:ilvl="3" w:tplc="9CF2907A" w:tentative="1">
      <w:start w:val="1"/>
      <w:numFmt w:val="bullet"/>
      <w:lvlText w:val="•"/>
      <w:lvlJc w:val="left"/>
      <w:pPr>
        <w:tabs>
          <w:tab w:val="num" w:pos="2880"/>
        </w:tabs>
        <w:ind w:left="2880" w:hanging="360"/>
      </w:pPr>
      <w:rPr>
        <w:rFonts w:ascii="Arial" w:hAnsi="Arial" w:hint="default"/>
      </w:rPr>
    </w:lvl>
    <w:lvl w:ilvl="4" w:tplc="332CA82E" w:tentative="1">
      <w:start w:val="1"/>
      <w:numFmt w:val="bullet"/>
      <w:lvlText w:val="•"/>
      <w:lvlJc w:val="left"/>
      <w:pPr>
        <w:tabs>
          <w:tab w:val="num" w:pos="3600"/>
        </w:tabs>
        <w:ind w:left="3600" w:hanging="360"/>
      </w:pPr>
      <w:rPr>
        <w:rFonts w:ascii="Arial" w:hAnsi="Arial" w:hint="default"/>
      </w:rPr>
    </w:lvl>
    <w:lvl w:ilvl="5" w:tplc="87265636" w:tentative="1">
      <w:start w:val="1"/>
      <w:numFmt w:val="bullet"/>
      <w:lvlText w:val="•"/>
      <w:lvlJc w:val="left"/>
      <w:pPr>
        <w:tabs>
          <w:tab w:val="num" w:pos="4320"/>
        </w:tabs>
        <w:ind w:left="4320" w:hanging="360"/>
      </w:pPr>
      <w:rPr>
        <w:rFonts w:ascii="Arial" w:hAnsi="Arial" w:hint="default"/>
      </w:rPr>
    </w:lvl>
    <w:lvl w:ilvl="6" w:tplc="E58CEF28" w:tentative="1">
      <w:start w:val="1"/>
      <w:numFmt w:val="bullet"/>
      <w:lvlText w:val="•"/>
      <w:lvlJc w:val="left"/>
      <w:pPr>
        <w:tabs>
          <w:tab w:val="num" w:pos="5040"/>
        </w:tabs>
        <w:ind w:left="5040" w:hanging="360"/>
      </w:pPr>
      <w:rPr>
        <w:rFonts w:ascii="Arial" w:hAnsi="Arial" w:hint="default"/>
      </w:rPr>
    </w:lvl>
    <w:lvl w:ilvl="7" w:tplc="764844BE" w:tentative="1">
      <w:start w:val="1"/>
      <w:numFmt w:val="bullet"/>
      <w:lvlText w:val="•"/>
      <w:lvlJc w:val="left"/>
      <w:pPr>
        <w:tabs>
          <w:tab w:val="num" w:pos="5760"/>
        </w:tabs>
        <w:ind w:left="5760" w:hanging="360"/>
      </w:pPr>
      <w:rPr>
        <w:rFonts w:ascii="Arial" w:hAnsi="Arial" w:hint="default"/>
      </w:rPr>
    </w:lvl>
    <w:lvl w:ilvl="8" w:tplc="B29A2B2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71631F4"/>
    <w:multiLevelType w:val="hybridMultilevel"/>
    <w:tmpl w:val="39D03966"/>
    <w:lvl w:ilvl="0" w:tplc="513858AC">
      <w:start w:val="1"/>
      <w:numFmt w:val="bullet"/>
      <w:lvlText w:val="•"/>
      <w:lvlJc w:val="left"/>
      <w:pPr>
        <w:tabs>
          <w:tab w:val="num" w:pos="720"/>
        </w:tabs>
        <w:ind w:left="720" w:hanging="360"/>
      </w:pPr>
      <w:rPr>
        <w:rFonts w:ascii="Arial" w:hAnsi="Arial" w:hint="default"/>
      </w:rPr>
    </w:lvl>
    <w:lvl w:ilvl="1" w:tplc="47AAD694">
      <w:start w:val="1"/>
      <w:numFmt w:val="bullet"/>
      <w:lvlText w:val="•"/>
      <w:lvlJc w:val="left"/>
      <w:pPr>
        <w:tabs>
          <w:tab w:val="num" w:pos="1440"/>
        </w:tabs>
        <w:ind w:left="1440" w:hanging="360"/>
      </w:pPr>
      <w:rPr>
        <w:rFonts w:ascii="Arial" w:hAnsi="Arial" w:hint="default"/>
      </w:rPr>
    </w:lvl>
    <w:lvl w:ilvl="2" w:tplc="73980E4C" w:tentative="1">
      <w:start w:val="1"/>
      <w:numFmt w:val="bullet"/>
      <w:lvlText w:val="•"/>
      <w:lvlJc w:val="left"/>
      <w:pPr>
        <w:tabs>
          <w:tab w:val="num" w:pos="2160"/>
        </w:tabs>
        <w:ind w:left="2160" w:hanging="360"/>
      </w:pPr>
      <w:rPr>
        <w:rFonts w:ascii="Arial" w:hAnsi="Arial" w:hint="default"/>
      </w:rPr>
    </w:lvl>
    <w:lvl w:ilvl="3" w:tplc="EDFEE68C" w:tentative="1">
      <w:start w:val="1"/>
      <w:numFmt w:val="bullet"/>
      <w:lvlText w:val="•"/>
      <w:lvlJc w:val="left"/>
      <w:pPr>
        <w:tabs>
          <w:tab w:val="num" w:pos="2880"/>
        </w:tabs>
        <w:ind w:left="2880" w:hanging="360"/>
      </w:pPr>
      <w:rPr>
        <w:rFonts w:ascii="Arial" w:hAnsi="Arial" w:hint="default"/>
      </w:rPr>
    </w:lvl>
    <w:lvl w:ilvl="4" w:tplc="36D2726E" w:tentative="1">
      <w:start w:val="1"/>
      <w:numFmt w:val="bullet"/>
      <w:lvlText w:val="•"/>
      <w:lvlJc w:val="left"/>
      <w:pPr>
        <w:tabs>
          <w:tab w:val="num" w:pos="3600"/>
        </w:tabs>
        <w:ind w:left="3600" w:hanging="360"/>
      </w:pPr>
      <w:rPr>
        <w:rFonts w:ascii="Arial" w:hAnsi="Arial" w:hint="default"/>
      </w:rPr>
    </w:lvl>
    <w:lvl w:ilvl="5" w:tplc="5874E72A" w:tentative="1">
      <w:start w:val="1"/>
      <w:numFmt w:val="bullet"/>
      <w:lvlText w:val="•"/>
      <w:lvlJc w:val="left"/>
      <w:pPr>
        <w:tabs>
          <w:tab w:val="num" w:pos="4320"/>
        </w:tabs>
        <w:ind w:left="4320" w:hanging="360"/>
      </w:pPr>
      <w:rPr>
        <w:rFonts w:ascii="Arial" w:hAnsi="Arial" w:hint="default"/>
      </w:rPr>
    </w:lvl>
    <w:lvl w:ilvl="6" w:tplc="BFE068A2" w:tentative="1">
      <w:start w:val="1"/>
      <w:numFmt w:val="bullet"/>
      <w:lvlText w:val="•"/>
      <w:lvlJc w:val="left"/>
      <w:pPr>
        <w:tabs>
          <w:tab w:val="num" w:pos="5040"/>
        </w:tabs>
        <w:ind w:left="5040" w:hanging="360"/>
      </w:pPr>
      <w:rPr>
        <w:rFonts w:ascii="Arial" w:hAnsi="Arial" w:hint="default"/>
      </w:rPr>
    </w:lvl>
    <w:lvl w:ilvl="7" w:tplc="677EC18E" w:tentative="1">
      <w:start w:val="1"/>
      <w:numFmt w:val="bullet"/>
      <w:lvlText w:val="•"/>
      <w:lvlJc w:val="left"/>
      <w:pPr>
        <w:tabs>
          <w:tab w:val="num" w:pos="5760"/>
        </w:tabs>
        <w:ind w:left="5760" w:hanging="360"/>
      </w:pPr>
      <w:rPr>
        <w:rFonts w:ascii="Arial" w:hAnsi="Arial" w:hint="default"/>
      </w:rPr>
    </w:lvl>
    <w:lvl w:ilvl="8" w:tplc="F6EEBB6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4A7067AC"/>
    <w:multiLevelType w:val="hybridMultilevel"/>
    <w:tmpl w:val="ED043F18"/>
    <w:lvl w:ilvl="0" w:tplc="05EEEAC2">
      <w:start w:val="1"/>
      <w:numFmt w:val="bullet"/>
      <w:lvlText w:val="•"/>
      <w:lvlJc w:val="left"/>
      <w:pPr>
        <w:tabs>
          <w:tab w:val="num" w:pos="720"/>
        </w:tabs>
        <w:ind w:left="720" w:hanging="360"/>
      </w:pPr>
      <w:rPr>
        <w:rFonts w:ascii="Arial" w:hAnsi="Arial" w:hint="default"/>
      </w:rPr>
    </w:lvl>
    <w:lvl w:ilvl="1" w:tplc="AB486FDC">
      <w:start w:val="1"/>
      <w:numFmt w:val="bullet"/>
      <w:lvlText w:val="•"/>
      <w:lvlJc w:val="left"/>
      <w:pPr>
        <w:tabs>
          <w:tab w:val="num" w:pos="1440"/>
        </w:tabs>
        <w:ind w:left="1440" w:hanging="360"/>
      </w:pPr>
      <w:rPr>
        <w:rFonts w:ascii="Arial" w:hAnsi="Arial" w:hint="default"/>
      </w:rPr>
    </w:lvl>
    <w:lvl w:ilvl="2" w:tplc="E2684BCC" w:tentative="1">
      <w:start w:val="1"/>
      <w:numFmt w:val="bullet"/>
      <w:lvlText w:val="•"/>
      <w:lvlJc w:val="left"/>
      <w:pPr>
        <w:tabs>
          <w:tab w:val="num" w:pos="2160"/>
        </w:tabs>
        <w:ind w:left="2160" w:hanging="360"/>
      </w:pPr>
      <w:rPr>
        <w:rFonts w:ascii="Arial" w:hAnsi="Arial" w:hint="default"/>
      </w:rPr>
    </w:lvl>
    <w:lvl w:ilvl="3" w:tplc="26F04B1C" w:tentative="1">
      <w:start w:val="1"/>
      <w:numFmt w:val="bullet"/>
      <w:lvlText w:val="•"/>
      <w:lvlJc w:val="left"/>
      <w:pPr>
        <w:tabs>
          <w:tab w:val="num" w:pos="2880"/>
        </w:tabs>
        <w:ind w:left="2880" w:hanging="360"/>
      </w:pPr>
      <w:rPr>
        <w:rFonts w:ascii="Arial" w:hAnsi="Arial" w:hint="default"/>
      </w:rPr>
    </w:lvl>
    <w:lvl w:ilvl="4" w:tplc="E4A8B2DA" w:tentative="1">
      <w:start w:val="1"/>
      <w:numFmt w:val="bullet"/>
      <w:lvlText w:val="•"/>
      <w:lvlJc w:val="left"/>
      <w:pPr>
        <w:tabs>
          <w:tab w:val="num" w:pos="3600"/>
        </w:tabs>
        <w:ind w:left="3600" w:hanging="360"/>
      </w:pPr>
      <w:rPr>
        <w:rFonts w:ascii="Arial" w:hAnsi="Arial" w:hint="default"/>
      </w:rPr>
    </w:lvl>
    <w:lvl w:ilvl="5" w:tplc="0C86CACC" w:tentative="1">
      <w:start w:val="1"/>
      <w:numFmt w:val="bullet"/>
      <w:lvlText w:val="•"/>
      <w:lvlJc w:val="left"/>
      <w:pPr>
        <w:tabs>
          <w:tab w:val="num" w:pos="4320"/>
        </w:tabs>
        <w:ind w:left="4320" w:hanging="360"/>
      </w:pPr>
      <w:rPr>
        <w:rFonts w:ascii="Arial" w:hAnsi="Arial" w:hint="default"/>
      </w:rPr>
    </w:lvl>
    <w:lvl w:ilvl="6" w:tplc="A6080C78" w:tentative="1">
      <w:start w:val="1"/>
      <w:numFmt w:val="bullet"/>
      <w:lvlText w:val="•"/>
      <w:lvlJc w:val="left"/>
      <w:pPr>
        <w:tabs>
          <w:tab w:val="num" w:pos="5040"/>
        </w:tabs>
        <w:ind w:left="5040" w:hanging="360"/>
      </w:pPr>
      <w:rPr>
        <w:rFonts w:ascii="Arial" w:hAnsi="Arial" w:hint="default"/>
      </w:rPr>
    </w:lvl>
    <w:lvl w:ilvl="7" w:tplc="BED4850C" w:tentative="1">
      <w:start w:val="1"/>
      <w:numFmt w:val="bullet"/>
      <w:lvlText w:val="•"/>
      <w:lvlJc w:val="left"/>
      <w:pPr>
        <w:tabs>
          <w:tab w:val="num" w:pos="5760"/>
        </w:tabs>
        <w:ind w:left="5760" w:hanging="360"/>
      </w:pPr>
      <w:rPr>
        <w:rFonts w:ascii="Arial" w:hAnsi="Arial" w:hint="default"/>
      </w:rPr>
    </w:lvl>
    <w:lvl w:ilvl="8" w:tplc="9578957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5197560A"/>
    <w:multiLevelType w:val="hybridMultilevel"/>
    <w:tmpl w:val="2CE80E14"/>
    <w:lvl w:ilvl="0" w:tplc="7E72562C">
      <w:start w:val="1"/>
      <w:numFmt w:val="bullet"/>
      <w:lvlText w:val="•"/>
      <w:lvlJc w:val="left"/>
      <w:pPr>
        <w:tabs>
          <w:tab w:val="num" w:pos="720"/>
        </w:tabs>
        <w:ind w:left="720" w:hanging="360"/>
      </w:pPr>
      <w:rPr>
        <w:rFonts w:ascii="Arial" w:hAnsi="Arial" w:hint="default"/>
      </w:rPr>
    </w:lvl>
    <w:lvl w:ilvl="1" w:tplc="59A46746">
      <w:start w:val="1"/>
      <w:numFmt w:val="bullet"/>
      <w:lvlText w:val="•"/>
      <w:lvlJc w:val="left"/>
      <w:pPr>
        <w:tabs>
          <w:tab w:val="num" w:pos="1440"/>
        </w:tabs>
        <w:ind w:left="1440" w:hanging="360"/>
      </w:pPr>
      <w:rPr>
        <w:rFonts w:ascii="Arial" w:hAnsi="Arial" w:hint="default"/>
      </w:rPr>
    </w:lvl>
    <w:lvl w:ilvl="2" w:tplc="8048E714" w:tentative="1">
      <w:start w:val="1"/>
      <w:numFmt w:val="bullet"/>
      <w:lvlText w:val="•"/>
      <w:lvlJc w:val="left"/>
      <w:pPr>
        <w:tabs>
          <w:tab w:val="num" w:pos="2160"/>
        </w:tabs>
        <w:ind w:left="2160" w:hanging="360"/>
      </w:pPr>
      <w:rPr>
        <w:rFonts w:ascii="Arial" w:hAnsi="Arial" w:hint="default"/>
      </w:rPr>
    </w:lvl>
    <w:lvl w:ilvl="3" w:tplc="9EAA8E7A" w:tentative="1">
      <w:start w:val="1"/>
      <w:numFmt w:val="bullet"/>
      <w:lvlText w:val="•"/>
      <w:lvlJc w:val="left"/>
      <w:pPr>
        <w:tabs>
          <w:tab w:val="num" w:pos="2880"/>
        </w:tabs>
        <w:ind w:left="2880" w:hanging="360"/>
      </w:pPr>
      <w:rPr>
        <w:rFonts w:ascii="Arial" w:hAnsi="Arial" w:hint="default"/>
      </w:rPr>
    </w:lvl>
    <w:lvl w:ilvl="4" w:tplc="713464FC" w:tentative="1">
      <w:start w:val="1"/>
      <w:numFmt w:val="bullet"/>
      <w:lvlText w:val="•"/>
      <w:lvlJc w:val="left"/>
      <w:pPr>
        <w:tabs>
          <w:tab w:val="num" w:pos="3600"/>
        </w:tabs>
        <w:ind w:left="3600" w:hanging="360"/>
      </w:pPr>
      <w:rPr>
        <w:rFonts w:ascii="Arial" w:hAnsi="Arial" w:hint="default"/>
      </w:rPr>
    </w:lvl>
    <w:lvl w:ilvl="5" w:tplc="7C7C0548" w:tentative="1">
      <w:start w:val="1"/>
      <w:numFmt w:val="bullet"/>
      <w:lvlText w:val="•"/>
      <w:lvlJc w:val="left"/>
      <w:pPr>
        <w:tabs>
          <w:tab w:val="num" w:pos="4320"/>
        </w:tabs>
        <w:ind w:left="4320" w:hanging="360"/>
      </w:pPr>
      <w:rPr>
        <w:rFonts w:ascii="Arial" w:hAnsi="Arial" w:hint="default"/>
      </w:rPr>
    </w:lvl>
    <w:lvl w:ilvl="6" w:tplc="1316AC92" w:tentative="1">
      <w:start w:val="1"/>
      <w:numFmt w:val="bullet"/>
      <w:lvlText w:val="•"/>
      <w:lvlJc w:val="left"/>
      <w:pPr>
        <w:tabs>
          <w:tab w:val="num" w:pos="5040"/>
        </w:tabs>
        <w:ind w:left="5040" w:hanging="360"/>
      </w:pPr>
      <w:rPr>
        <w:rFonts w:ascii="Arial" w:hAnsi="Arial" w:hint="default"/>
      </w:rPr>
    </w:lvl>
    <w:lvl w:ilvl="7" w:tplc="F1C007A6" w:tentative="1">
      <w:start w:val="1"/>
      <w:numFmt w:val="bullet"/>
      <w:lvlText w:val="•"/>
      <w:lvlJc w:val="left"/>
      <w:pPr>
        <w:tabs>
          <w:tab w:val="num" w:pos="5760"/>
        </w:tabs>
        <w:ind w:left="5760" w:hanging="360"/>
      </w:pPr>
      <w:rPr>
        <w:rFonts w:ascii="Arial" w:hAnsi="Arial" w:hint="default"/>
      </w:rPr>
    </w:lvl>
    <w:lvl w:ilvl="8" w:tplc="BC14CCD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6B304C81"/>
    <w:multiLevelType w:val="hybridMultilevel"/>
    <w:tmpl w:val="A2C04D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9776074">
    <w:abstractNumId w:val="4"/>
  </w:num>
  <w:num w:numId="2" w16cid:durableId="237718320">
    <w:abstractNumId w:val="0"/>
  </w:num>
  <w:num w:numId="3" w16cid:durableId="1794666831">
    <w:abstractNumId w:val="1"/>
  </w:num>
  <w:num w:numId="4" w16cid:durableId="863177791">
    <w:abstractNumId w:val="2"/>
  </w:num>
  <w:num w:numId="5" w16cid:durableId="17172438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8D8"/>
    <w:rsid w:val="00093700"/>
    <w:rsid w:val="00151BF7"/>
    <w:rsid w:val="00183D5F"/>
    <w:rsid w:val="00184F2A"/>
    <w:rsid w:val="002470C0"/>
    <w:rsid w:val="0026471E"/>
    <w:rsid w:val="003B6767"/>
    <w:rsid w:val="0046001C"/>
    <w:rsid w:val="00511059"/>
    <w:rsid w:val="005D09D1"/>
    <w:rsid w:val="00616E41"/>
    <w:rsid w:val="006A11AD"/>
    <w:rsid w:val="00717590"/>
    <w:rsid w:val="00762DA3"/>
    <w:rsid w:val="0080485D"/>
    <w:rsid w:val="009C1EFE"/>
    <w:rsid w:val="009C64F5"/>
    <w:rsid w:val="00A03DF5"/>
    <w:rsid w:val="00A26E23"/>
    <w:rsid w:val="00A81012"/>
    <w:rsid w:val="00BB093D"/>
    <w:rsid w:val="00CD4ADA"/>
    <w:rsid w:val="00D0242D"/>
    <w:rsid w:val="00DD0F14"/>
    <w:rsid w:val="00E025BD"/>
    <w:rsid w:val="00E26741"/>
    <w:rsid w:val="00E2792A"/>
    <w:rsid w:val="00F508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6826E"/>
  <w15:chartTrackingRefBased/>
  <w15:docId w15:val="{5B1964D0-9BC8-4B5C-836F-D5D4B7290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8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08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08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08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08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08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8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8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8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8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08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08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08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08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08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8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8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8D8"/>
    <w:rPr>
      <w:rFonts w:eastAsiaTheme="majorEastAsia" w:cstheme="majorBidi"/>
      <w:color w:val="272727" w:themeColor="text1" w:themeTint="D8"/>
    </w:rPr>
  </w:style>
  <w:style w:type="paragraph" w:styleId="Title">
    <w:name w:val="Title"/>
    <w:basedOn w:val="Normal"/>
    <w:next w:val="Normal"/>
    <w:link w:val="TitleChar"/>
    <w:uiPriority w:val="10"/>
    <w:qFormat/>
    <w:rsid w:val="00F508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8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8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8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8D8"/>
    <w:pPr>
      <w:spacing w:before="160"/>
      <w:jc w:val="center"/>
    </w:pPr>
    <w:rPr>
      <w:i/>
      <w:iCs/>
      <w:color w:val="404040" w:themeColor="text1" w:themeTint="BF"/>
    </w:rPr>
  </w:style>
  <w:style w:type="character" w:customStyle="1" w:styleId="QuoteChar">
    <w:name w:val="Quote Char"/>
    <w:basedOn w:val="DefaultParagraphFont"/>
    <w:link w:val="Quote"/>
    <w:uiPriority w:val="29"/>
    <w:rsid w:val="00F508D8"/>
    <w:rPr>
      <w:i/>
      <w:iCs/>
      <w:color w:val="404040" w:themeColor="text1" w:themeTint="BF"/>
    </w:rPr>
  </w:style>
  <w:style w:type="paragraph" w:styleId="ListParagraph">
    <w:name w:val="List Paragraph"/>
    <w:basedOn w:val="Normal"/>
    <w:uiPriority w:val="34"/>
    <w:qFormat/>
    <w:rsid w:val="00F508D8"/>
    <w:pPr>
      <w:ind w:left="720"/>
      <w:contextualSpacing/>
    </w:pPr>
  </w:style>
  <w:style w:type="character" w:styleId="IntenseEmphasis">
    <w:name w:val="Intense Emphasis"/>
    <w:basedOn w:val="DefaultParagraphFont"/>
    <w:uiPriority w:val="21"/>
    <w:qFormat/>
    <w:rsid w:val="00F508D8"/>
    <w:rPr>
      <w:i/>
      <w:iCs/>
      <w:color w:val="0F4761" w:themeColor="accent1" w:themeShade="BF"/>
    </w:rPr>
  </w:style>
  <w:style w:type="paragraph" w:styleId="IntenseQuote">
    <w:name w:val="Intense Quote"/>
    <w:basedOn w:val="Normal"/>
    <w:next w:val="Normal"/>
    <w:link w:val="IntenseQuoteChar"/>
    <w:uiPriority w:val="30"/>
    <w:qFormat/>
    <w:rsid w:val="00F508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08D8"/>
    <w:rPr>
      <w:i/>
      <w:iCs/>
      <w:color w:val="0F4761" w:themeColor="accent1" w:themeShade="BF"/>
    </w:rPr>
  </w:style>
  <w:style w:type="character" w:styleId="IntenseReference">
    <w:name w:val="Intense Reference"/>
    <w:basedOn w:val="DefaultParagraphFont"/>
    <w:uiPriority w:val="32"/>
    <w:qFormat/>
    <w:rsid w:val="00F508D8"/>
    <w:rPr>
      <w:b/>
      <w:bCs/>
      <w:smallCaps/>
      <w:color w:val="0F4761" w:themeColor="accent1" w:themeShade="BF"/>
      <w:spacing w:val="5"/>
    </w:rPr>
  </w:style>
  <w:style w:type="paragraph" w:styleId="Caption">
    <w:name w:val="caption"/>
    <w:basedOn w:val="Normal"/>
    <w:next w:val="Normal"/>
    <w:uiPriority w:val="35"/>
    <w:unhideWhenUsed/>
    <w:qFormat/>
    <w:rsid w:val="00184F2A"/>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773</Words>
  <Characters>5137</Characters>
  <Application>Microsoft Office Word</Application>
  <DocSecurity>0</DocSecurity>
  <Lines>100</Lines>
  <Paragraphs>53</Paragraphs>
  <ScaleCrop>false</ScaleCrop>
  <Company/>
  <LinksUpToDate>false</LinksUpToDate>
  <CharactersWithSpaces>5873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Rajib Mishra</dc:creator>
  <cp:keywords/>
  <dc:description/>
  <cp:lastModifiedBy>Rajib Mishra</cp:lastModifiedBy>
  <cp:revision>27</cp:revision>
  <cp:lastPrinted>2026-02-10T16:20:00Z</cp:lastPrinted>
  <dcterms:created xsi:type="dcterms:W3CDTF">2026-02-02T16:55:00Z</dcterms:created>
  <dcterms:modified xsi:type="dcterms:W3CDTF">2026-02-10T16:20:00Z</dcterms:modified>
</cp:coreProperties>
</file>