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SaleToPOIAdministrativeRequest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SaleToPOIAdministrativeRequest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“SAAQ”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AdministrativeRequest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::AdministrativeRequest6</w:t>
            </w:r>
            <w:r/>
            <w:r/>
            <w:r>
              <w:rPr>
                <w:i/>
              </w:rPr>
              <w:t>&lt;AdmstvReq&gt;::AdministrativeRequest6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AdministrativeServiceIdentification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::Max20000Text</w:t>
            </w:r>
            <w:r/>
            <w:r/>
            <w:r>
              <w:rPr>
                <w:i/>
              </w:rPr>
              <w:t>&lt;AdmstvSvcId&gt;::Max20000Text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