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ED7"/>
          <w:sz w:val="20"/>
        </w:rPr>
        <w:t>BLUE LABEL TECHNOLOGIES · CYDESYS · SANGFOR</w:t>
      </w:r>
    </w:p>
    <w:p>
      <w:pPr>
        <w:jc w:val="center"/>
      </w:pPr>
      <w:r>
        <w:rPr>
          <w:b/>
          <w:color w:val="0B1220"/>
          <w:sz w:val="44"/>
        </w:rPr>
        <w:t>Estructura de la Propuesta Técnica y de Infraestructura</w:t>
      </w:r>
    </w:p>
    <w:p>
      <w:pPr>
        <w:jc w:val="center"/>
      </w:pPr>
      <w:r>
        <w:rPr>
          <w:color w:val="42506B"/>
          <w:sz w:val="25"/>
        </w:rPr>
        <w:t>Modernización del datacenter — Universidad Escuela Colombiana de Ingeniería Julio Garavito (ECI)</w:t>
      </w:r>
    </w:p>
    <w:p>
      <w:pPr>
        <w:jc w:val="center"/>
      </w:pPr>
      <w:r>
        <w:rPr>
          <w:i/>
          <w:color w:val="42506B"/>
          <w:sz w:val="19"/>
        </w:rPr>
        <w:t>Guía maestra de armado de la oferta — alineada punto por punto con el TdR (versión 31-ago-2026), sus anexos y la respuesta oficial de la ECI (2-sep-2026)</w:t>
      </w:r>
    </w:p>
    <w:p/>
    <w:p>
      <w:r>
        <w:rPr>
          <w:color w:val="0B1220"/>
          <w:sz w:val="20"/>
        </w:rPr>
        <w:t>Este documento no es la propuesta económica ni el formulario oficial que se radica ante la ECI: es el mapa de armado que usamos internamente para que la propuesta técnica y de infraestructura que presente la Unión Temporal BLT–Cydesys cubra, sección por sección, cada criterio de evaluación y cada anexo exigido por el TdR. Cada bloque indica qué documento de trabajo ya sustenta ese contenido, qué falta, y qué depende específicamente de la arquitectura física y la información técnica que entregue Christian (Cydesys) con Sangfor.</w:t>
      </w:r>
    </w:p>
    <w:p/>
    <w:p>
      <w:pPr>
        <w:pStyle w:val="Heading1"/>
      </w:pPr>
      <w:r>
        <w:rPr>
          <w:b/>
          <w:color w:val="08387F"/>
          <w:sz w:val="30"/>
        </w:rPr>
        <w:t>Mapa de cumplimiento con los criterios de evaluación del TdR</w:t>
      </w:r>
    </w:p>
    <w:p>
      <w:r>
        <w:rPr>
          <w:i w:val="0"/>
          <w:color w:val="42506B"/>
          <w:sz w:val="20"/>
        </w:rPr>
        <w:t>Peso oficial de cada criterio (100% del puntaje) y la sección de esta estructura que lo sustenta.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color="auto" w:fill="DCE6F5"/>
          </w:tcPr>
          <w:p>
            <w:r/>
            <w:r>
              <w:rPr>
                <w:b/>
                <w:color w:val="08387F"/>
                <w:sz w:val="18"/>
              </w:rPr>
              <w:t>Criterio de evaluación</w:t>
            </w:r>
          </w:p>
        </w:tc>
        <w:tc>
          <w:tcPr>
            <w:tcW w:type="dxa" w:w="907"/>
            <w:shd w:val="clear" w:color="auto" w:fill="DCE6F5"/>
          </w:tcPr>
          <w:p>
            <w:r/>
            <w:r>
              <w:rPr>
                <w:b/>
                <w:color w:val="08387F"/>
                <w:sz w:val="18"/>
              </w:rPr>
              <w:t>Peso</w:t>
            </w:r>
          </w:p>
        </w:tc>
        <w:tc>
          <w:tcPr>
            <w:tcW w:type="dxa" w:w="2381"/>
            <w:shd w:val="clear" w:color="auto" w:fill="DCE6F5"/>
          </w:tcPr>
          <w:p>
            <w:r/>
            <w:r>
              <w:rPr>
                <w:b/>
                <w:color w:val="08387F"/>
                <w:sz w:val="18"/>
              </w:rPr>
              <w:t>Sección de la propuesta</w:t>
            </w:r>
          </w:p>
        </w:tc>
        <w:tc>
          <w:tcPr>
            <w:tcW w:type="dxa" w:w="3118"/>
            <w:shd w:val="clear" w:color="auto" w:fill="DCE6F5"/>
          </w:tcPr>
          <w:p>
            <w:r/>
            <w:r>
              <w:rPr>
                <w:b/>
                <w:color w:val="08387F"/>
                <w:sz w:val="18"/>
              </w:rPr>
              <w:t>Estado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Arquitectura de la solución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2 — Arquitectura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Metodología lista · BOM final pendiente de Christian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TCO a 5 años (Anexo 2)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9 — TCO y Anexo 2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Metodología lista · cifras en documento comercial reservado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Prueba de Concepto (PoC)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6 — PoC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Pendiente — se diseña tras preselección (15–19 sep)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Acuerdos de Nivel de Servicio (SLA)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5 — ANS/SLA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Listo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Experiencia del proponente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7 — Experiencia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Pendiente de insumos de Christian/Cydesys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Implementación y migración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3 — Continuidad y migración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Listo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Valores agregados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Cap. 8 — Modelo comercial y valores agregados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Listo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8387F"/>
          <w:sz w:val="30"/>
        </w:rPr>
        <w:t>Estructura capítulo por capítulo de la propuesta a radicar</w:t>
      </w:r>
    </w:p>
    <w:p>
      <w:pPr>
        <w:pStyle w:val="Heading2"/>
      </w:pPr>
      <w:r>
        <w:rPr>
          <w:b/>
          <w:color w:val="0B5ED7"/>
          <w:sz w:val="25"/>
        </w:rPr>
        <w:t xml:space="preserve">0  </w:t>
      </w:r>
      <w:r>
        <w:rPr>
          <w:b/>
          <w:color w:val="0B1220"/>
          <w:sz w:val="25"/>
        </w:rPr>
        <w:t>Portada, carta de presentación y datos del proponente</w:t>
      </w:r>
    </w:p>
    <w:p>
      <w:r>
        <w:rPr>
          <w:i w:val="0"/>
          <w:color w:val="42506B"/>
          <w:sz w:val="20"/>
        </w:rPr>
        <w:t>Identificación de la Unión Temporal BLT–Cydesys, objeto de la propuesta, vigencia de la oferta y firma del representante único ante la ECI, conforme a las condiciones de unión temporal confirmadas por la Escuela en su respuesta oficial.</w:t>
      </w:r>
    </w:p>
    <w:p>
      <w:r>
        <w:rPr>
          <w:b/>
          <w:color w:val="B4560D"/>
          <w:sz w:val="18"/>
        </w:rPr>
        <w:t>Estado: En construcción — falta formalizar representante único y firma conjunta.</w:t>
      </w:r>
    </w:p>
    <w:p>
      <w:r>
        <w:rPr>
          <w:i/>
          <w:color w:val="42506B"/>
          <w:sz w:val="18"/>
        </w:rPr>
        <w:t>Fuente en el portal: Estructura BLT–Cydesys (artefacto)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1  </w:t>
      </w:r>
      <w:r>
        <w:rPr>
          <w:b/>
          <w:color w:val="0B1220"/>
          <w:sz w:val="25"/>
        </w:rPr>
        <w:t>Requisitos habilitantes</w:t>
      </w:r>
    </w:p>
    <w:p>
      <w:r>
        <w:rPr>
          <w:i w:val="0"/>
          <w:color w:val="42506B"/>
          <w:sz w:val="20"/>
        </w:rPr>
        <w:t>Jurídicos, financieros y de experiencia mínima: existencia y representación legal, RUT, estados financieros 2025 y corte 2026, pólizas de seriedad de la oferta (10% del contrato) y certificaciones de experiencia — ahora exigidos por integrante de la unión temporal, no en conjunto.</w:t>
      </w:r>
    </w:p>
    <w:p>
      <w:r>
        <w:rPr>
          <w:b/>
          <w:color w:val="B4560D"/>
          <w:sz w:val="18"/>
        </w:rPr>
        <w:t>Estado: En construcción — 21 requisitos identificados; recolección de certificados en curso.</w:t>
      </w:r>
    </w:p>
    <w:p>
      <w:r>
        <w:rPr>
          <w:i/>
          <w:color w:val="42506B"/>
          <w:sz w:val="18"/>
        </w:rPr>
        <w:t>Fuente en el portal: Requisitos Habilitantes (artefacto)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2  </w:t>
      </w:r>
      <w:r>
        <w:rPr>
          <w:b/>
          <w:color w:val="0B1220"/>
          <w:sz w:val="25"/>
        </w:rPr>
        <w:t>Arquitectura de la solución — 30% de la evaluación</w:t>
      </w:r>
    </w:p>
    <w:p>
      <w:pPr>
        <w:pStyle w:val="ListBullet"/>
      </w:pPr>
      <w:r>
        <w:rPr>
          <w:color w:val="42506B"/>
          <w:sz w:val="19"/>
        </w:rPr>
        <w:t>Diagnóstico de la infraestructura actual (VMware/vSAN, RVTools) y objetivos de modernización exigidos por el TdR.</w:t>
      </w:r>
    </w:p>
    <w:p>
      <w:pPr>
        <w:pStyle w:val="ListBullet"/>
      </w:pPr>
      <w:r>
        <w:rPr>
          <w:color w:val="42506B"/>
          <w:sz w:val="19"/>
        </w:rPr>
        <w:t>Arquitectura Sangfor HCI propuesta: cómputo (aSV), almacenamiento definido por software (aSAN/aStor), red (aNet) y seguridad (aSEC) en una sola licencia.</w:t>
      </w:r>
    </w:p>
    <w:p>
      <w:pPr>
        <w:pStyle w:val="ListBullet"/>
      </w:pPr>
      <w:r>
        <w:rPr>
          <w:color w:val="42506B"/>
          <w:sz w:val="19"/>
        </w:rPr>
        <w:t>Tres alternativas comerciales: infraestructura nueva, actualización híbrida y arriendo equivalente (CapEx vs. OpEx).</w:t>
      </w:r>
    </w:p>
    <w:p>
      <w:pPr>
        <w:pStyle w:val="ListBullet"/>
      </w:pPr>
      <w:r>
        <w:rPr>
          <w:color w:val="42506B"/>
          <w:sz w:val="19"/>
        </w:rPr>
        <w:t>Escenarios de servidor Dell / HPE / Lenovo, sobre la generación más reciente disponible y la HCL vigente de Sangfor.</w:t>
      </w:r>
    </w:p>
    <w:p>
      <w:pPr>
        <w:pStyle w:val="ListBullet"/>
      </w:pPr>
      <w:r>
        <w:rPr>
          <w:color w:val="42506B"/>
          <w:sz w:val="19"/>
        </w:rPr>
        <w:t>Diagrama de conectividad de red del clúster (redundancia, camino de crecimiento 10G → 25/40G).</w:t>
      </w:r>
    </w:p>
    <w:p>
      <w:pPr>
        <w:pStyle w:val="ListBullet"/>
      </w:pPr>
      <w:r>
        <w:rPr>
          <w:color w:val="42506B"/>
          <w:sz w:val="19"/>
        </w:rPr>
        <w:t>Cumplimiento punto por punto del Anexo 4 (requisitos técnicos obligatorios).</w:t>
      </w:r>
    </w:p>
    <w:p>
      <w:r>
        <w:rPr>
          <w:b/>
          <w:color w:val="B4560D"/>
          <w:sz w:val="18"/>
        </w:rPr>
        <w:t>Estado: Metodología, diagramas y alternativas listos · BOM final de hardware (marca, modelo, número de nodos) pendiente de la propuesta de arquitectura física de Christian.</w:t>
      </w:r>
    </w:p>
    <w:p>
      <w:r>
        <w:rPr>
          <w:i/>
          <w:color w:val="42506B"/>
          <w:sz w:val="18"/>
        </w:rPr>
        <w:t>Fuente en el portal: Solución Sangfor ECI · Checklist RFQ ECI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3  </w:t>
      </w:r>
      <w:r>
        <w:rPr>
          <w:b/>
          <w:color w:val="0B1220"/>
          <w:sz w:val="25"/>
        </w:rPr>
        <w:t>Continuidad y estrategia de migración — 5% de la evaluación (implementación/migración)</w:t>
      </w:r>
    </w:p>
    <w:p>
      <w:pPr>
        <w:pStyle w:val="ListBullet"/>
      </w:pPr>
      <w:r>
        <w:rPr>
          <w:color w:val="42506B"/>
          <w:sz w:val="19"/>
        </w:rPr>
        <w:t>Modelo de coexistencia: la plataforma VMware actual permanece activa mientras se migran las cargas por fases, con punto de reversa en cada una.</w:t>
      </w:r>
    </w:p>
    <w:p>
      <w:pPr>
        <w:pStyle w:val="ListBullet"/>
      </w:pPr>
      <w:r>
        <w:rPr>
          <w:color w:val="42506B"/>
          <w:sz w:val="19"/>
        </w:rPr>
        <w:t>Orden de migración por criticidad (no crítico → identidad/servicios → núcleo académico), evitando periodos de matrícula y evaluaciones.</w:t>
      </w:r>
    </w:p>
    <w:p>
      <w:pPr>
        <w:pStyle w:val="ListBullet"/>
      </w:pPr>
      <w:r>
        <w:rPr>
          <w:color w:val="42506B"/>
          <w:sz w:val="19"/>
        </w:rPr>
        <w:t>Cronograma de implementación detallado, con ventana de mantenimiento acordada con la Dirección de Tecnología.</w:t>
      </w:r>
    </w:p>
    <w:p>
      <w:r>
        <w:rPr>
          <w:b/>
          <w:color w:val="12805A"/>
          <w:sz w:val="18"/>
        </w:rPr>
        <w:t>Estado: Listo.</w:t>
      </w:r>
    </w:p>
    <w:p>
      <w:r>
        <w:rPr>
          <w:i/>
          <w:color w:val="42506B"/>
          <w:sz w:val="18"/>
        </w:rPr>
        <w:t>Fuente en el portal: Solución Sangfor ECI (sección Bridge) · Anexos de Propuesta Técnica (cronograma)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4  </w:t>
      </w:r>
      <w:r>
        <w:rPr>
          <w:b/>
          <w:color w:val="0B1220"/>
          <w:sz w:val="25"/>
        </w:rPr>
        <w:t>Alta disponibilidad, recuperación ante desastres y seguridad</w:t>
      </w:r>
    </w:p>
    <w:p>
      <w:pPr>
        <w:pStyle w:val="ListBullet"/>
      </w:pPr>
      <w:r>
        <w:rPr>
          <w:color w:val="42506B"/>
          <w:sz w:val="19"/>
        </w:rPr>
        <w:t>HA multi-activa (tolerancia a 2 nodos), live migration, CDP + aDR nativos con RPO≈0 y RTO de segundos a 30 minutos.</w:t>
      </w:r>
    </w:p>
    <w:p>
      <w:pPr>
        <w:pStyle w:val="ListBullet"/>
      </w:pPr>
      <w:r>
        <w:rPr>
          <w:color w:val="42506B"/>
          <w:sz w:val="19"/>
        </w:rPr>
        <w:t>Seguridad: MFA, RBAC, cifrado AES-256, firewall distribuido y microsegmentación (aSEC), retención inmutable anti-ransomware.</w:t>
      </w:r>
    </w:p>
    <w:p>
      <w:r>
        <w:rPr>
          <w:b/>
          <w:color w:val="12805A"/>
          <w:sz w:val="18"/>
        </w:rPr>
        <w:t>Estado: Listo.</w:t>
      </w:r>
    </w:p>
    <w:p>
      <w:r>
        <w:rPr>
          <w:i/>
          <w:color w:val="42506B"/>
          <w:sz w:val="18"/>
        </w:rPr>
        <w:t>Fuente en el portal: Solución Sangfor ECI (secciones Alta disponibilidad y DR / Seguridad)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5  </w:t>
      </w:r>
      <w:r>
        <w:rPr>
          <w:b/>
          <w:color w:val="0B1220"/>
          <w:sz w:val="25"/>
        </w:rPr>
        <w:t>Acuerdos de Nivel de Servicio (ANS/SLA) — 15% de la evaluación</w:t>
      </w:r>
    </w:p>
    <w:p>
      <w:pPr>
        <w:pStyle w:val="ListBullet"/>
      </w:pPr>
      <w:r>
        <w:rPr>
          <w:color w:val="42506B"/>
          <w:sz w:val="19"/>
        </w:rPr>
        <w:t>Clasificación de incidentes en 4 niveles de prioridad (P1 crítica a P4 baja), con definición y ejemplo sobre la plataforma de la ECI.</w:t>
      </w:r>
    </w:p>
    <w:p>
      <w:pPr>
        <w:pStyle w:val="ListBullet"/>
      </w:pPr>
      <w:r>
        <w:rPr>
          <w:color w:val="42506B"/>
          <w:sz w:val="19"/>
        </w:rPr>
        <w:t>Tiempos de respuesta y de escalamiento a fábrica por prioridad, en modalidad 24×7 o 9×5 según el caso.</w:t>
      </w:r>
    </w:p>
    <w:p>
      <w:pPr>
        <w:pStyle w:val="ListBullet"/>
      </w:pPr>
      <w:r>
        <w:rPr>
          <w:color w:val="42506B"/>
          <w:sz w:val="19"/>
        </w:rPr>
        <w:t>Reglas de escalamiento al fabricante Sangfor, exclusiones del cómputo de ANS, y esquema de medición y gobierno mensual.</w:t>
      </w:r>
    </w:p>
    <w:p>
      <w:r>
        <w:rPr>
          <w:b/>
          <w:color w:val="12805A"/>
          <w:sz w:val="18"/>
        </w:rPr>
        <w:t>Estado: Listo.</w:t>
      </w:r>
    </w:p>
    <w:p>
      <w:r>
        <w:rPr>
          <w:i/>
          <w:color w:val="42506B"/>
          <w:sz w:val="18"/>
        </w:rPr>
        <w:t>Fuente en el portal: Solución Sangfor ECI (sección 12 — ANS)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6  </w:t>
      </w:r>
      <w:r>
        <w:rPr>
          <w:b/>
          <w:color w:val="0B1220"/>
          <w:sz w:val="25"/>
        </w:rPr>
        <w:t>Prueba de Concepto (PoC) — 15% de la evaluación</w:t>
      </w:r>
    </w:p>
    <w:p>
      <w:pPr>
        <w:pStyle w:val="ListBullet"/>
      </w:pPr>
      <w:r>
        <w:rPr>
          <w:color w:val="42506B"/>
          <w:sz w:val="19"/>
        </w:rPr>
        <w:t>Alcance y objetivos técnicos a validar en el ambiente de pruebas de la ECI.</w:t>
      </w:r>
    </w:p>
    <w:p>
      <w:pPr>
        <w:pStyle w:val="ListBullet"/>
      </w:pPr>
      <w:r>
        <w:rPr>
          <w:color w:val="42506B"/>
          <w:sz w:val="19"/>
        </w:rPr>
        <w:t>Criterios de aceptación medibles (rendimiento, HA, tiempos de recuperación).</w:t>
      </w:r>
    </w:p>
    <w:p>
      <w:pPr>
        <w:pStyle w:val="ListBullet"/>
      </w:pPr>
      <w:r>
        <w:rPr>
          <w:color w:val="42506B"/>
          <w:sz w:val="19"/>
        </w:rPr>
        <w:t>Cronograma de la PoC dentro de la ventana oficial del TdR (15–19 sep, solo oferentes preseleccionados).</w:t>
      </w:r>
    </w:p>
    <w:p>
      <w:r>
        <w:rPr>
          <w:b/>
          <w:color w:val="B4560D"/>
          <w:sz w:val="18"/>
        </w:rPr>
        <w:t>Estado: Pendiente — se diseña con Sangfor/Christian una vez confirmada la preselección (14-sep).</w:t>
      </w:r>
    </w:p>
    <w:p>
      <w:r>
        <w:rPr>
          <w:i/>
          <w:color w:val="42506B"/>
          <w:sz w:val="18"/>
        </w:rPr>
        <w:t>Fuente en el portal: A construir — nuevo documento de trabajo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7  </w:t>
      </w:r>
      <w:r>
        <w:rPr>
          <w:b/>
          <w:color w:val="0B1220"/>
          <w:sz w:val="25"/>
        </w:rPr>
        <w:t>Experiencia del proponente — 10% de la evaluación</w:t>
      </w:r>
    </w:p>
    <w:p>
      <w:pPr>
        <w:pStyle w:val="ListBullet"/>
      </w:pPr>
      <w:r>
        <w:rPr>
          <w:color w:val="42506B"/>
          <w:sz w:val="19"/>
        </w:rPr>
        <w:t>Casos de éxito de Blue Label Technologies en ciberseguridad e infraestructura para clientes del sector salud, educación y cajas de compensación.</w:t>
      </w:r>
    </w:p>
    <w:p>
      <w:pPr>
        <w:pStyle w:val="ListBullet"/>
      </w:pPr>
      <w:r>
        <w:rPr>
          <w:color w:val="42506B"/>
          <w:sz w:val="19"/>
        </w:rPr>
        <w:t>Casos de éxito de Cydesys en implementaciones Sangfor / HCI.</w:t>
      </w:r>
    </w:p>
    <w:p>
      <w:pPr>
        <w:pStyle w:val="ListBullet"/>
      </w:pPr>
      <w:r>
        <w:rPr>
          <w:color w:val="42506B"/>
          <w:sz w:val="19"/>
        </w:rPr>
        <w:t>Certificaciones vigentes del equipo técnico asignado al proyecto (Sangfor, seguridad, virtualización).</w:t>
      </w:r>
    </w:p>
    <w:p>
      <w:r>
        <w:rPr>
          <w:b/>
          <w:color w:val="B4560D"/>
          <w:sz w:val="18"/>
        </w:rPr>
        <w:t>Estado: Pendiente de insumos de Christian/Cydesys — hojas de vida, certificaciones y casos de éxito en Sangfor. BLT aporta su propio historial MSSP.</w:t>
      </w:r>
    </w:p>
    <w:p>
      <w:r>
        <w:rPr>
          <w:i/>
          <w:color w:val="42506B"/>
          <w:sz w:val="18"/>
        </w:rPr>
        <w:t>Fuente en el portal: A construir con insumos de ambas empresas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8  </w:t>
      </w:r>
      <w:r>
        <w:rPr>
          <w:b/>
          <w:color w:val="0B1220"/>
          <w:sz w:val="25"/>
        </w:rPr>
        <w:t>Modelo comercial y valores agregados — 5% de la evaluación</w:t>
      </w:r>
    </w:p>
    <w:p>
      <w:pPr>
        <w:pStyle w:val="ListBullet"/>
      </w:pPr>
      <w:r>
        <w:rPr>
          <w:color w:val="42506B"/>
          <w:sz w:val="19"/>
        </w:rPr>
        <w:t>Modelo de licenciamiento perpetuo u OpEx a elección de la Escuela — Sangfor no discontinuó la licencia perpetua como sí lo hizo VMware/Broadcom.</w:t>
      </w:r>
    </w:p>
    <w:p>
      <w:pPr>
        <w:pStyle w:val="ListBullet"/>
      </w:pPr>
      <w:r>
        <w:rPr>
          <w:color w:val="42506B"/>
          <w:sz w:val="19"/>
        </w:rPr>
        <w:t>Valores agregados diferenciales: SkyOps (monitoreo con IA), backup nativo incluido, certificaciones gratuitas para el equipo técnico del sector educativo.</w:t>
      </w:r>
    </w:p>
    <w:p>
      <w:r>
        <w:rPr>
          <w:b/>
          <w:color w:val="12805A"/>
          <w:sz w:val="18"/>
        </w:rPr>
        <w:t>Estado: Listo.</w:t>
      </w:r>
    </w:p>
    <w:p>
      <w:r>
        <w:rPr>
          <w:i/>
          <w:color w:val="42506B"/>
          <w:sz w:val="18"/>
        </w:rPr>
        <w:t>Fuente en el portal: Solución Sangfor ECI (sección Modelo comercial)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9  </w:t>
      </w:r>
      <w:r>
        <w:rPr>
          <w:b/>
          <w:color w:val="0B1220"/>
          <w:sz w:val="25"/>
        </w:rPr>
        <w:t>TCO a 5 años y Anexo 2 — 20% de la evaluación</w:t>
      </w:r>
    </w:p>
    <w:p>
      <w:pPr>
        <w:pStyle w:val="ListBullet"/>
      </w:pPr>
      <w:r>
        <w:rPr>
          <w:color w:val="42506B"/>
          <w:sz w:val="19"/>
        </w:rPr>
        <w:t>Estructura de costos a 5 años por categoría (hardware, licenciamiento, soporte, migración, capacitación), con IPC 6% y TRM $3.350 según instrucción del TdR.</w:t>
      </w:r>
    </w:p>
    <w:p>
      <w:pPr>
        <w:pStyle w:val="ListBullet"/>
      </w:pPr>
      <w:r>
        <w:rPr>
          <w:color w:val="42506B"/>
          <w:sz w:val="19"/>
        </w:rPr>
        <w:t>Anexo 2 diligenciado en el formato oficial exigido por la Escuela.</w:t>
      </w:r>
    </w:p>
    <w:p>
      <w:r>
        <w:rPr>
          <w:b/>
          <w:color w:val="A32F2F"/>
          <w:sz w:val="18"/>
        </w:rPr>
        <w:t>Estado: Metodología y categorías listas · las cifras de precio se manejan en un documento comercial reservado, separado de esta estructura, para preservar la confidencialidad del margen frente a Cydesys.</w:t>
      </w:r>
    </w:p>
    <w:p>
      <w:r>
        <w:rPr>
          <w:i/>
          <w:color w:val="42506B"/>
          <w:sz w:val="18"/>
        </w:rPr>
        <w:t>Fuente en el portal: Solución Sangfor ECI (sección Dimensionamiento/TCO) · documento comercial interno</w:t>
      </w:r>
    </w:p>
    <w:p>
      <w:pPr>
        <w:spacing w:before="40" w:after="200"/>
        <w:pBdr>
          <w:bottom w:val="single" w:sz="6" w:space="1" w:color="DCE6F5"/>
        </w:pBdr>
      </w:pPr>
    </w:p>
    <w:p>
      <w:pPr>
        <w:pStyle w:val="Heading2"/>
      </w:pPr>
      <w:r>
        <w:rPr>
          <w:b/>
          <w:color w:val="0B5ED7"/>
          <w:sz w:val="25"/>
        </w:rPr>
        <w:t xml:space="preserve">10  </w:t>
      </w:r>
      <w:r>
        <w:rPr>
          <w:b/>
          <w:color w:val="0B1220"/>
          <w:sz w:val="25"/>
        </w:rPr>
        <w:t>Anexos de soporte</w:t>
      </w:r>
    </w:p>
    <w:p>
      <w:pPr>
        <w:pStyle w:val="ListBullet"/>
      </w:pPr>
      <w:r>
        <w:rPr>
          <w:color w:val="42506B"/>
          <w:sz w:val="19"/>
        </w:rPr>
        <w:t>Carta de aval del fabricante (Sangfor) que respalda a la Unión Temporal como canal autorizado.</w:t>
      </w:r>
    </w:p>
    <w:p>
      <w:pPr>
        <w:pStyle w:val="ListBullet"/>
      </w:pPr>
      <w:r>
        <w:rPr>
          <w:color w:val="42506B"/>
          <w:sz w:val="19"/>
        </w:rPr>
        <w:t>Checklist de cumplimiento en el formato exacto del TdR (28 ítems).</w:t>
      </w:r>
    </w:p>
    <w:p>
      <w:pPr>
        <w:pStyle w:val="ListBullet"/>
      </w:pPr>
      <w:r>
        <w:rPr>
          <w:color w:val="42506B"/>
          <w:sz w:val="19"/>
        </w:rPr>
        <w:t>Hojas de vida del equipo técnico asignado.</w:t>
      </w:r>
    </w:p>
    <w:p>
      <w:pPr>
        <w:pStyle w:val="ListBullet"/>
      </w:pPr>
      <w:r>
        <w:rPr>
          <w:color w:val="42506B"/>
          <w:sz w:val="19"/>
        </w:rPr>
        <w:t>Garantías: póliza de seriedad de la oferta a nombre de la Unión Temporal completa.</w:t>
      </w:r>
    </w:p>
    <w:p>
      <w:r>
        <w:rPr>
          <w:b/>
          <w:color w:val="B4560D"/>
          <w:sz w:val="18"/>
        </w:rPr>
        <w:t>Estado: En construcción.</w:t>
      </w:r>
    </w:p>
    <w:p>
      <w:r>
        <w:rPr>
          <w:i/>
          <w:color w:val="42506B"/>
          <w:sz w:val="18"/>
        </w:rPr>
        <w:t>Fuente en el portal: Anexos de Propuesta Técnica (artefacto)</w:t>
      </w:r>
    </w:p>
    <w:p>
      <w:r>
        <w:br w:type="page"/>
      </w:r>
    </w:p>
    <w:p>
      <w:pPr>
        <w:pStyle w:val="Heading1"/>
      </w:pPr>
      <w:r>
        <w:rPr>
          <w:b/>
          <w:color w:val="08387F"/>
          <w:sz w:val="30"/>
        </w:rPr>
        <w:t>Pendientes críticos que dependen de Christian / Cydesys / Sangfor</w:t>
      </w:r>
    </w:p>
    <w:p>
      <w:r>
        <w:rPr>
          <w:i w:val="0"/>
          <w:color w:val="42506B"/>
          <w:sz w:val="20"/>
        </w:rPr>
        <w:t>Lista única de lo que bloquea cerrar la propuesta técnica completa — para seguimiento diario hasta el 7 de septiembre.</w:t>
      </w:r>
    </w:p>
    <w:p>
      <w:pPr>
        <w:pStyle w:val="ListBullet"/>
      </w:pPr>
      <w:r>
        <w:rPr>
          <w:color w:val="42506B"/>
          <w:sz w:val="19"/>
        </w:rPr>
        <w:t>BOM final de hardware (marca, modelo y número de nodos) sobre la HCL vigente de Sangfor para los tres fabricantes evaluados (Dell, HPE, Lenovo).</w:t>
      </w:r>
    </w:p>
    <w:p>
      <w:pPr>
        <w:pStyle w:val="ListBullet"/>
      </w:pPr>
      <w:r>
        <w:rPr>
          <w:color w:val="42506B"/>
          <w:sz w:val="19"/>
        </w:rPr>
        <w:t>Confirmación del alcance de aSAN/aStor y aSEC dentro de la licencia cotizada — la cotización recibida no los menciona de forma explícita.</w:t>
      </w:r>
    </w:p>
    <w:p>
      <w:pPr>
        <w:pStyle w:val="ListBullet"/>
      </w:pPr>
      <w:r>
        <w:rPr>
          <w:color w:val="42506B"/>
          <w:sz w:val="19"/>
        </w:rPr>
        <w:t>Aclaración del ítem "appliance testigo de 2 nodos" frente a la arquitectura objetivo de 4 a 6 nodos.</w:t>
      </w:r>
    </w:p>
    <w:p>
      <w:pPr>
        <w:pStyle w:val="ListBullet"/>
      </w:pPr>
      <w:r>
        <w:rPr>
          <w:color w:val="42506B"/>
          <w:sz w:val="19"/>
        </w:rPr>
        <w:t>Hojas de vida y certificaciones vigentes del equipo técnico de Cydesys/Sangfor asignado al proyecto.</w:t>
      </w:r>
    </w:p>
    <w:p>
      <w:pPr>
        <w:pStyle w:val="ListBullet"/>
      </w:pPr>
      <w:r>
        <w:rPr>
          <w:color w:val="42506B"/>
          <w:sz w:val="19"/>
        </w:rPr>
        <w:t>Casos de éxito de Cydesys en implementaciones Sangfor, para sustentar el criterio de experiencia (10%).</w:t>
      </w:r>
    </w:p>
    <w:p>
      <w:pPr>
        <w:pStyle w:val="ListBullet"/>
      </w:pPr>
      <w:r>
        <w:rPr>
          <w:color w:val="42506B"/>
          <w:sz w:val="19"/>
        </w:rPr>
        <w:t>Propuesta económica final una vez cerrado el BOM completo (hardware + software + servicios), para consolidar el Anexo 2.</w:t>
      </w:r>
    </w:p>
    <w:p/>
    <w:p>
      <w:r>
        <w:rPr>
          <w:i/>
          <w:color w:val="42506B"/>
          <w:sz w:val="16"/>
        </w:rPr>
        <w:t>Blue Label Technologies · Cydesys · Escuela Colombiana de Ingeniería Julio Garavito — documento de trabajo interno, actualizado el 3 de septiembre de 2026.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1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