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jc w:val="center"/>
      </w:pPr>
      <w:r>
        <w:rPr>
          <w:b/>
          <w:color w:val="08387F"/>
          <w:sz w:val="60"/>
        </w:rPr>
        <w:t>PROPUESTA TÉCNICA</w:t>
      </w:r>
    </w:p>
    <w:p>
      <w:pPr>
        <w:jc w:val="center"/>
      </w:pPr>
      <w:r>
        <w:rPr>
          <w:color w:val="42506B"/>
          <w:sz w:val="30"/>
        </w:rPr>
        <w:t>Modernización de la Plataforma de Procesamiento y Almacenamiento de Datos</w:t>
      </w:r>
    </w:p>
    <w:p>
      <w:pPr>
        <w:jc w:val="center"/>
      </w:pPr>
      <w:r>
        <w:rPr>
          <w:color w:val="42506B"/>
          <w:sz w:val="30"/>
        </w:rPr>
        <w:t>del Datacenter Institucional</w:t>
      </w:r>
    </w:p>
    <w:p>
      <w:pPr>
        <w:jc w:val="center"/>
      </w:pPr>
      <w:r>
        <w:rPr>
          <w:b/>
          <w:sz w:val="26"/>
        </w:rPr>
        <w:br/>
        <w:t>Escuela Colombiana de Ingeniería Julio Garavito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65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5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2506B"/>
          <w:sz w:val="22"/>
        </w:rPr>
        <w:t>Presentada por la Unión Temporal:</w:t>
      </w:r>
    </w:p>
    <w:p>
      <w:pPr>
        <w:jc w:val="center"/>
      </w:pPr>
      <w:r>
        <w:rPr>
          <w:b/>
          <w:color w:val="0B5ED7"/>
          <w:sz w:val="32"/>
        </w:rPr>
        <w:t>Blue Label Technologies + Cydesys</w:t>
      </w:r>
    </w:p>
    <w:p>
      <w:pPr>
        <w:jc w:val="center"/>
      </w:pPr>
      <w:r>
        <w:rPr>
          <w:color w:val="42506B"/>
          <w:sz w:val="20"/>
        </w:rPr>
        <w:br/>
        <w:t>Septiembre de 2026</w:t>
      </w:r>
    </w:p>
    <w:p>
      <w:r>
        <w:br w:type="page"/>
      </w:r>
    </w:p>
    <w:p>
      <w:pPr>
        <w:pStyle w:val="Heading1"/>
      </w:pPr>
      <w:r>
        <w:rPr>
          <w:color w:val="08387F"/>
          <w:sz w:val="36"/>
        </w:rPr>
        <w:t>Contenido</w:t>
      </w:r>
    </w:p>
    <w:p>
      <w:r>
        <w:rPr>
          <w:b w:val="0"/>
          <w:i w:val="0"/>
          <w:sz w:val="22"/>
        </w:rPr>
        <w:t>1. Quiénes somos</w:t>
      </w:r>
    </w:p>
    <w:p>
      <w:r>
        <w:rPr>
          <w:b w:val="0"/>
          <w:i w:val="0"/>
          <w:sz w:val="22"/>
        </w:rPr>
        <w:t>2. Diagnóstico de la infraestructura actual</w:t>
      </w:r>
    </w:p>
    <w:p>
      <w:r>
        <w:rPr>
          <w:b w:val="0"/>
          <w:i w:val="0"/>
          <w:sz w:val="22"/>
        </w:rPr>
        <w:t>3. Arquitectura de la solución — Sangfor HCI</w:t>
      </w:r>
    </w:p>
    <w:p>
      <w:r>
        <w:rPr>
          <w:b w:val="0"/>
          <w:i w:val="0"/>
          <w:sz w:val="22"/>
        </w:rPr>
        <w:t>4. Arquitectura de hardware</w:t>
      </w:r>
    </w:p>
    <w:p>
      <w:r>
        <w:rPr>
          <w:b w:val="0"/>
          <w:i w:val="0"/>
          <w:sz w:val="22"/>
        </w:rPr>
        <w:t>5. Alta disponibilidad, continuidad y seguridad</w:t>
      </w:r>
    </w:p>
    <w:p>
      <w:r>
        <w:rPr>
          <w:b w:val="0"/>
          <w:i w:val="0"/>
          <w:sz w:val="22"/>
        </w:rPr>
        <w:t>6. Acuerdos de Nivel de Servicio</w:t>
      </w:r>
    </w:p>
    <w:p>
      <w:r>
        <w:rPr>
          <w:b w:val="0"/>
          <w:i w:val="0"/>
          <w:sz w:val="22"/>
        </w:rPr>
        <w:t>7. Modelo comercial y valores agregados</w:t>
      </w:r>
    </w:p>
    <w:p>
      <w:r>
        <w:rPr>
          <w:b w:val="0"/>
          <w:i w:val="0"/>
          <w:sz w:val="22"/>
        </w:rPr>
        <w:t>8. Cierre y siguientes pasos</w:t>
      </w:r>
    </w:p>
    <w:p>
      <w:r>
        <w:br w:type="page"/>
      </w:r>
    </w:p>
    <w:p>
      <w:pPr>
        <w:pStyle w:val="Heading1"/>
      </w:pPr>
      <w:r>
        <w:rPr>
          <w:color w:val="08387F"/>
          <w:sz w:val="36"/>
        </w:rPr>
        <w:t>1. Quiénes somos</w:t>
      </w:r>
    </w:p>
    <w:p>
      <w:pPr>
        <w:pStyle w:val="Heading2"/>
      </w:pPr>
      <w:r>
        <w:rPr>
          <w:color w:val="0B5ED7"/>
          <w:sz w:val="27"/>
        </w:rPr>
        <w:t>Blue Label Technologies</w:t>
      </w:r>
    </w:p>
    <w:p>
      <w:r>
        <w:rPr>
          <w:b w:val="0"/>
          <w:i w:val="0"/>
          <w:sz w:val="22"/>
        </w:rPr>
        <w:t>Proveedor colombiano de servicios de ciberseguridad gestionada (MSSP) con Centro de Operaciones de Seguridad (SOC) 24/7, con más de 123 proyectos ejecutados en 25 organizaciones de sectores regulados: salud, manufactura, gobierno y sector financiero.</w:t>
      </w:r>
    </w:p>
    <w:p>
      <w:pPr>
        <w:pStyle w:val="ListBullet"/>
      </w:pPr>
      <w:r>
        <w:t>Aliado tecnológico certificado de Sangfor para hiperconvergencia y virtualización de servidores.</w:t>
      </w:r>
    </w:p>
    <w:p>
      <w:pPr>
        <w:pStyle w:val="ListBullet"/>
      </w:pPr>
      <w:r>
        <w:t>Certificaciones: ISO/IEC 27001, marco NIST, Ley 1581 de Habeas Data.</w:t>
      </w:r>
    </w:p>
    <w:p>
      <w:pPr>
        <w:pStyle w:val="Heading2"/>
      </w:pPr>
      <w:r>
        <w:rPr>
          <w:color w:val="0B5ED7"/>
          <w:sz w:val="27"/>
        </w:rPr>
        <w:t>Cydesys</w:t>
      </w:r>
    </w:p>
    <w:p>
      <w:r>
        <w:rPr>
          <w:b w:val="0"/>
          <w:i w:val="0"/>
          <w:sz w:val="22"/>
        </w:rPr>
        <w:t>Cyberware S.A.S. (Cydesys) — Soluciones Tecnológicas, activa desde 1960, con más de 50 años de trayectoria como mayorista de infraestructura tecnológica. Oficina central en Bogotá con bodegas propias en Miami y Nueva York.</w:t>
      </w:r>
    </w:p>
    <w:p>
      <w:pPr>
        <w:pStyle w:val="ListBullet"/>
      </w:pPr>
      <w:r>
        <w:t>Más de 1.800 clientes satisfechos y más de 1.200 soluciones de infraestructura implementadas.</w:t>
      </w:r>
    </w:p>
    <w:p>
      <w:pPr>
        <w:pStyle w:val="ListBullet"/>
      </w:pPr>
      <w:r>
        <w:t>Alianzas de fabricante de largo plazo: HPE, IBM, Lenovo, Dell Technologies, Cisco, Fortinet.</w:t>
      </w:r>
    </w:p>
    <w:p>
      <w:pPr>
        <w:pStyle w:val="Heading2"/>
      </w:pPr>
      <w:r>
        <w:rPr>
          <w:color w:val="0B5ED7"/>
          <w:sz w:val="27"/>
        </w:rPr>
        <w:t>La Unión Temporal</w:t>
      </w:r>
    </w:p>
    <w:p>
      <w:r>
        <w:rPr>
          <w:b w:val="0"/>
          <w:i w:val="0"/>
          <w:sz w:val="22"/>
        </w:rPr>
        <w:t>La combinación de más de 50 años de trayectoria de Cydesys en infraestructura física con la vigilancia de seguridad ininterrumpida 24/7 de Blue Label Technologies ofrece a la Escuela un solo interlocutor responsable de principio a fin: desde el hardware hasta la operación segura de la plataforma, con garantías unificadas y responsabilidad solidaria.</w:t>
      </w:r>
    </w:p>
    <w:p>
      <w:r>
        <w:br w:type="page"/>
      </w:r>
    </w:p>
    <w:p>
      <w:pPr>
        <w:pStyle w:val="Heading1"/>
      </w:pPr>
      <w:r>
        <w:rPr>
          <w:color w:val="08387F"/>
          <w:sz w:val="36"/>
        </w:rPr>
        <w:t>2. Diagnóstico de la infraestructura actual</w:t>
      </w:r>
    </w:p>
    <w:p>
      <w:pPr>
        <w:pStyle w:val="ListBullet"/>
      </w:pPr>
      <w:r>
        <w:t>Clúster de 4 nodos Dell PowerEdge R740/R740XD, Intel Xeon Silver 4114/4214, 384 GB RAM por nodo, VMware ESXi 7.0.3 centralizado en vCenter 7.</w:t>
      </w:r>
    </w:p>
    <w:p>
      <w:pPr>
        <w:pStyle w:val="ListBullet"/>
      </w:pPr>
      <w:r>
        <w:t>Almacenamiento distribuido de 61,44 TB brutos, con ocupación cercana al límite de capacidad.</w:t>
      </w:r>
    </w:p>
    <w:p>
      <w:pPr>
        <w:pStyle w:val="ListBullet"/>
      </w:pPr>
      <w:r>
        <w:t>Switch core Extreme VSP7254XSQ de 10G. Integración híbrida con Oracle OCI, AWS y Azure.</w:t>
      </w:r>
    </w:p>
    <w:p>
      <w:r>
        <w:rPr>
          <w:b w:val="0"/>
          <w:i w:val="0"/>
          <w:sz w:val="22"/>
        </w:rPr>
        <w:t>Este es exactamente el punto de inflexión tecnológico que la modernización propuesta resuelve: infraestructura de última generación, con holgura de crecimiento y continuidad operativa garantizada.</w:t>
      </w:r>
    </w:p>
    <w:p>
      <w:r>
        <w:br w:type="page"/>
      </w:r>
    </w:p>
    <w:p>
      <w:pPr>
        <w:pStyle w:val="Heading1"/>
      </w:pPr>
      <w:r>
        <w:rPr>
          <w:color w:val="08387F"/>
          <w:sz w:val="36"/>
        </w:rPr>
        <w:t>3. Arquitectura de la solución — Sangfor HCI</w:t>
      </w:r>
    </w:p>
    <w:p>
      <w:r>
        <w:rPr>
          <w:b w:val="0"/>
          <w:i w:val="0"/>
          <w:sz w:val="22"/>
        </w:rPr>
        <w:t>La propuesta reemplaza la pila actual, fragmentada entre fabricantes de hardware, red y virtualización, por una plataforma unificada Sangfor: cómputo (aSV) y red (aNet) sobre hardware estándar x86, con una sola licencia y una sola consola de administración.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8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8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2506B"/>
          <w:sz w:val="18"/>
        </w:rPr>
        <w:t>Arquitectura básica de la plataforma Sangfor: aNET (virtualización de red), aSV (virtualización de servidor) y aSAN (virtualización de almacenamiento), sobre hardware x86 estándar.</w:t>
      </w:r>
    </w:p>
    <w:p>
      <w:pPr>
        <w:pStyle w:val="Heading2"/>
      </w:pPr>
      <w:r>
        <w:rPr>
          <w:color w:val="0B5ED7"/>
          <w:sz w:val="27"/>
        </w:rPr>
        <w:t>De la infraestructura tradicional a la convergencia</w:t>
      </w:r>
    </w:p>
    <w:p>
      <w:r>
        <w:rPr>
          <w:b w:val="0"/>
          <w:i w:val="0"/>
          <w:sz w:val="22"/>
        </w:rPr>
        <w:t>Sangfor colapsa capas de seguridad, red, switching, servidor y almacenamiento —tradicionalmente de fabricantes distintos— en una sola infraestructura hiperconvergente, reduciendo la complejidad operativa y los puntos de falla.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42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2506B"/>
          <w:sz w:val="18"/>
        </w:rPr>
        <w:t>De componentes de infraestructura tradicional separados a una infraestructura hiperconvergente unificada Sangfor.</w:t>
      </w:r>
    </w:p>
    <w:p>
      <w:pPr>
        <w:pStyle w:val="Heading2"/>
      </w:pPr>
      <w:r>
        <w:rPr>
          <w:color w:val="0B5ED7"/>
          <w:sz w:val="27"/>
        </w:rPr>
        <w:t>Consola de administración unificada</w:t>
      </w:r>
    </w:p>
    <w:p>
      <w:r>
        <w:rPr>
          <w:b w:val="0"/>
          <w:i w:val="0"/>
          <w:sz w:val="22"/>
        </w:rPr>
        <w:t>Toda la plataforma —nodos, máquinas virtuales, almacenamiento, red y alertas— se administra desde una sola consola web (SCP), con monitoreo en tiempo real de CPU, memoria, almacenamiento y estado de los nodos.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550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5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2506B"/>
          <w:sz w:val="18"/>
        </w:rPr>
        <w:t>Consola de administración Sangfor HCI: vista unificada de nodos, VMs, CPU, memoria y almacenamiento.</w:t>
      </w:r>
    </w:p>
    <w:p>
      <w:r>
        <w:br w:type="page"/>
      </w:r>
    </w:p>
    <w:p>
      <w:pPr>
        <w:pStyle w:val="Heading2"/>
      </w:pPr>
      <w:r>
        <w:rPr>
          <w:color w:val="0B5ED7"/>
          <w:sz w:val="27"/>
        </w:rPr>
        <w:t>Alcance funcional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8387F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4320"/>
            <w:shd w:fill="08387F"/>
          </w:tcPr>
          <w:p>
            <w:r/>
            <w:r>
              <w:rPr>
                <w:b/>
                <w:color w:val="FFFFFF"/>
                <w:sz w:val="19"/>
              </w:rPr>
              <w:t>Solución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Cómputo (hipervisor)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aSV — alta disponibilidad, live migration, snapshots, clonación, plantillas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aNet — virtualización de red y segmentación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Administración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Consola SCP + SkyOps (monitoreo con inteligencia artificial)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Recuperación ante desastres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CDP + aDR integrados al hipervisor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Respaldo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Backup nativo incluido (Built-in Backup), compatible con Acronis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Licenciamiento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Perpetuo u OpEx, sin forzar modelo de suscripción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387F"/>
          <w:sz w:val="36"/>
        </w:rPr>
        <w:t>4. Arquitectura de hardware</w:t>
      </w:r>
    </w:p>
    <w:p>
      <w:r>
        <w:rPr>
          <w:b w:val="0"/>
          <w:i w:val="0"/>
          <w:sz w:val="22"/>
        </w:rPr>
        <w:t>Cydesys, como integrador físico de la Unión Temporal, recomienda servidores HPE ProLiant DL380 Gen11 de última generación (Intel Xeon Silver Gen5, memoria DDR5, almacenamiento NVMe), conectados a una cabina SAN externa HPE MSA2062 con capacidad combinada de 123 TB — muy por encima del rango de 80 a 100 TB requerido.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172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172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2506B"/>
          <w:sz w:val="18"/>
        </w:rPr>
        <w:t>Appliance de referencia de la plataforma sobre hardware x86 estándar.</w:t>
      </w:r>
    </w:p>
    <w:p>
      <w:r>
        <w:rPr>
          <w:b w:val="0"/>
          <w:i/>
          <w:color w:val="42506B"/>
          <w:sz w:val="22"/>
        </w:rPr>
        <w:t>Como alternativa de menor inversión, se documentó también la actualización de los servidores Dell existentes — una ruta más ágil en tiempos de entrega, presentada con total transparencia junto con sus consideraciones técnicas frente a la ruta principal recomendada.</w:t>
      </w:r>
    </w:p>
    <w:p>
      <w:r>
        <w:br w:type="page"/>
      </w:r>
    </w:p>
    <w:p>
      <w:pPr>
        <w:pStyle w:val="Heading1"/>
      </w:pPr>
      <w:r>
        <w:rPr>
          <w:color w:val="08387F"/>
          <w:sz w:val="36"/>
        </w:rPr>
        <w:t>5. Alta disponibilidad, continuidad y seguridad</w:t>
      </w:r>
    </w:p>
    <w:p>
      <w:pPr>
        <w:pStyle w:val="ListBullet"/>
      </w:pPr>
      <w:r>
        <w:t>Disponibilidad superior al 99,9%, con tolerancia a la pérdida simultánea de hasta 2 nodos sin detener el servicio.</w:t>
      </w:r>
    </w:p>
    <w:p>
      <w:pPr>
        <w:pStyle w:val="ListBullet"/>
      </w:pPr>
      <w:r>
        <w:t>Migración en vivo (live migration) de cargas de trabajo sin interrupción de servicios académicos ni administrativos.</w:t>
      </w:r>
    </w:p>
    <w:p>
      <w:pPr>
        <w:pStyle w:val="ListBullet"/>
      </w:pPr>
      <w:r>
        <w:t>Recuperación ante desastres con RPO≈0 y RTO de segundos a 30 minutos.</w:t>
      </w:r>
    </w:p>
    <w:p>
      <w:pPr>
        <w:pStyle w:val="ListBullet"/>
      </w:pPr>
      <w:r>
        <w:t>Seguridad nativa: Active Directory/LDAP, RBAC, cifrado TLS 1.2+, aislamiento de red.</w:t>
      </w:r>
    </w:p>
    <w:p>
      <w:pPr>
        <w:pStyle w:val="ListBullet"/>
      </w:pPr>
      <w:r>
        <w:t>Migración por fases, con la plataforma actual activa en paralelo hasta el cutover final, y punto de reversa en cada fase.</w:t>
      </w:r>
    </w:p>
    <w:p>
      <w:pPr>
        <w:pStyle w:val="Heading1"/>
      </w:pPr>
      <w:r>
        <w:rPr>
          <w:color w:val="08387F"/>
          <w:sz w:val="36"/>
        </w:rPr>
        <w:t>6. Acuerdos de Nivel de Servicio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8387F"/>
          </w:tcPr>
          <w:p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4320"/>
            <w:shd w:fill="08387F"/>
          </w:tcPr>
          <w:p>
            <w:r/>
            <w:r>
              <w:rPr>
                <w:b/>
                <w:color w:val="FFFFFF"/>
                <w:sz w:val="19"/>
              </w:rPr>
              <w:t>Garantía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Disponibilidad — plataforma lógica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99,9%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Garantía de equipamiento físico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Mínimo 3 años, respaldada por el fabricante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Atención a incidentes — plataforma lógica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24/7, con escalamiento directo a ingeniería del fabricante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Atención a incidentes — hardware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5×8, reposición de partes al siguiente día hábil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Transferencia de conocimiento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Manuales, arquitectura detallada y capacitación formal al equipo de la ECI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387F"/>
          <w:sz w:val="36"/>
        </w:rPr>
        <w:t>7. Modelo comercial y valores agregados</w:t>
      </w:r>
    </w:p>
    <w:p>
      <w:pPr>
        <w:pStyle w:val="ListBullet"/>
      </w:pPr>
      <w:r>
        <w:t>Licenciamiento perpetuo u OpEx a elección de la Escuela.</w:t>
      </w:r>
    </w:p>
    <w:p>
      <w:pPr>
        <w:pStyle w:val="ListBullet"/>
      </w:pPr>
      <w:r>
        <w:t>SkyOps: monitoreo de la plataforma asistido por inteligencia artificial, incluido en la licencia base.</w:t>
      </w:r>
    </w:p>
    <w:p>
      <w:pPr>
        <w:pStyle w:val="ListBullet"/>
      </w:pPr>
      <w:r>
        <w:t>Backup nativo incluido, sin licenciar herramientas de terceros aparte.</w:t>
      </w:r>
    </w:p>
    <w:p>
      <w:pPr>
        <w:pStyle w:val="ListBullet"/>
      </w:pPr>
      <w:r>
        <w:t>Certificaciones de la plataforma sin costo adicional para instituciones del sector educativo.</w:t>
      </w:r>
    </w:p>
    <w:p>
      <w:pPr>
        <w:pStyle w:val="Heading1"/>
      </w:pPr>
      <w:r>
        <w:rPr>
          <w:color w:val="08387F"/>
          <w:sz w:val="36"/>
        </w:rPr>
        <w:t>8. Cierre y siguientes pasos</w:t>
      </w:r>
    </w:p>
    <w:p>
      <w:r>
        <w:rPr>
          <w:b/>
          <w:i w:val="0"/>
          <w:sz w:val="22"/>
        </w:rPr>
        <w:t>La combinación de la trayectoria de Cydesys en infraestructura física con la operación de ciberseguridad gestionada de Blue Label Technologies ofrece a la Escuela Colombiana de Ingeniería Julio Garavito una solución robusta, moderna y respaldada, lista para iniciar su implementación en el último trimestre de 2026.</w:t>
      </w:r>
    </w:p>
    <w:p>
      <w:r>
        <w:rPr>
          <w:b w:val="0"/>
          <w:i w:val="0"/>
          <w:sz w:val="22"/>
        </w:rPr>
        <w:t>Quedamos atentos para avanzar hacia la Prueba de Concepto y la fase de implementación conjunta con la Dirección de Tecnología (OSIRIS).</w:t>
      </w:r>
    </w:p>
    <w:p/>
    <w:p>
      <w:r>
        <w:rPr>
          <w:i/>
          <w:color w:val="42506B"/>
          <w:sz w:val="18"/>
        </w:rPr>
        <w:t>Unión Temporal Blue Label Technologies + Cydesys — Propuesta técnica para la Escuela Colombiana de Ingeniería Julio Garavito, septiembre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4141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