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8387F"/>
          <w:sz w:val="56"/>
        </w:rPr>
        <w:t>PROPUESTA TÉCNICA</w:t>
      </w:r>
    </w:p>
    <w:p>
      <w:pPr>
        <w:spacing w:after="40"/>
        <w:jc w:val="center"/>
      </w:pPr>
      <w:r>
        <w:rPr>
          <w:color w:val="42506B"/>
          <w:sz w:val="28"/>
        </w:rPr>
        <w:t>Modernización de la Plataforma de Procesamiento y Almacenamiento de Datos</w:t>
      </w:r>
    </w:p>
    <w:p>
      <w:pPr>
        <w:spacing w:after="40"/>
        <w:jc w:val="center"/>
      </w:pPr>
      <w:r>
        <w:rPr>
          <w:color w:val="42506B"/>
          <w:sz w:val="28"/>
        </w:rPr>
        <w:t>del Datacenter Institucional</w:t>
      </w:r>
    </w:p>
    <w:p>
      <w:pPr>
        <w:spacing w:before="120" w:after="200"/>
        <w:jc w:val="center"/>
      </w:pPr>
      <w:r>
        <w:rPr>
          <w:b/>
          <w:sz w:val="25"/>
        </w:rPr>
        <w:t>Escuela Colombiana de Ingeniería Julio Garavito</w:t>
      </w:r>
    </w:p>
    <w:p>
      <w:pPr>
        <w:spacing w:after="40"/>
        <w:jc w:val="center"/>
      </w:pPr>
      <w:r>
        <w:drawing>
          <wp:inline xmlns:a="http://schemas.openxmlformats.org/drawingml/2006/main" xmlns:pic="http://schemas.openxmlformats.org/drawingml/2006/picture">
            <wp:extent cx="4846320" cy="2664996"/>
            <wp:docPr id="1" name="Picture 1"/>
            <wp:cNvGraphicFramePr>
              <a:graphicFrameLocks noChangeAspect="1"/>
            </wp:cNvGraphicFramePr>
            <a:graphic>
              <a:graphicData uri="http://schemas.openxmlformats.org/drawingml/2006/picture">
                <pic:pic>
                  <pic:nvPicPr>
                    <pic:cNvPr id="0" name="image38.png"/>
                    <pic:cNvPicPr/>
                  </pic:nvPicPr>
                  <pic:blipFill>
                    <a:blip r:embed="rId9"/>
                    <a:stretch>
                      <a:fillRect/>
                    </a:stretch>
                  </pic:blipFill>
                  <pic:spPr>
                    <a:xfrm>
                      <a:off x="0" y="0"/>
                      <a:ext cx="4846320" cy="2664996"/>
                    </a:xfrm>
                    <a:prstGeom prst="rect"/>
                  </pic:spPr>
                </pic:pic>
              </a:graphicData>
            </a:graphic>
          </wp:inline>
        </w:drawing>
      </w:r>
    </w:p>
    <w:p>
      <w:pPr>
        <w:spacing w:after="20"/>
        <w:jc w:val="center"/>
      </w:pPr>
      <w:r>
        <w:rPr>
          <w:color w:val="42506B"/>
          <w:sz w:val="21"/>
        </w:rPr>
        <w:t>Presentada por la Unión Temporal</w:t>
      </w:r>
    </w:p>
    <w:p>
      <w:pPr>
        <w:spacing w:after="20"/>
        <w:jc w:val="center"/>
      </w:pPr>
      <w:r>
        <w:rPr>
          <w:b/>
          <w:color w:val="0B5ED7"/>
          <w:sz w:val="30"/>
        </w:rPr>
        <w:t>Blue Label Technologies + Cydesys</w:t>
      </w:r>
    </w:p>
    <w:p>
      <w:pPr>
        <w:jc w:val="center"/>
      </w:pPr>
      <w:r>
        <w:rPr>
          <w:color w:val="42506B"/>
          <w:sz w:val="19"/>
        </w:rPr>
        <w:t>Septiembre de 2026</w:t>
      </w:r>
    </w:p>
    <w:p>
      <w:r>
        <w:br w:type="page"/>
      </w:r>
    </w:p>
    <w:p>
      <w:pPr>
        <w:pStyle w:val="Heading1"/>
        <w:keepNext/>
        <w:spacing w:before="280" w:after="120"/>
      </w:pPr>
      <w:r>
        <w:rPr>
          <w:color w:val="08387F"/>
          <w:sz w:val="32"/>
        </w:rPr>
        <w:t>Resumen ejecutivo</w:t>
      </w:r>
    </w:p>
    <w:p>
      <w:pPr>
        <w:spacing w:after="120"/>
      </w:pPr>
      <w:r>
        <w:rPr>
          <w:b w:val="0"/>
          <w:i w:val="0"/>
          <w:sz w:val="21"/>
        </w:rPr>
        <w:t>La Escuela Colombiana de Ingeniería Julio Garavito se encuentra en un punto de inflexión tecnológico: su plataforma de virtualización actual, sostenida sobre cuatro nodos Dell adquiridos hace varios años, ha alcanzado el límite razonable de su vida útil operativa, con una ocupación de almacenamiento cercana a su capacidad máxima y sin un esquema formal de recuperación ante desastres. La Unión Temporal Blue Label Technologies + Cydesys presenta una propuesta que resuelve este punto de inflexión con una arquitectura de última generación, respaldada por dos actores con trayectoria comprobada: más de 50 años de integración de infraestructura física de Cydesys, y la operación de ciberseguridad gestionada 24/7 de Blue Label Technologies.</w:t>
      </w:r>
    </w:p>
    <w:p>
      <w:pPr>
        <w:spacing w:after="120"/>
      </w:pPr>
      <w:r>
        <w:rPr>
          <w:b w:val="0"/>
          <w:i w:val="0"/>
          <w:sz w:val="21"/>
        </w:rPr>
        <w:t>La solución propuesta reemplaza la arquitectura fragmentada actual —hardware, red y virtualización de fabricantes distintos, gestionados con herramientas separadas— por una plataforma hiperconvergente Sangfor, unificada en una sola licencia y una sola consola de administración, desplegada sobre hardware HPE ProLiant de última generación. El resultado es una infraestructura con disponibilidad garantizada del 99,9%, capacidad de crecimiento del 25% al 40% en cinco años sin reinversión estructural, y una reducción sustancial de la complejidad operativa para el equipo de la Dirección de Tecnología (OSIRIS).</w:t>
      </w:r>
    </w:p>
    <w:p>
      <w:pPr>
        <w:keepNext/>
        <w:spacing w:before="120" w:after="40"/>
      </w:pPr>
      <w:r>
        <w:rPr>
          <w:b/>
          <w:color w:val="08387F"/>
          <w:sz w:val="21"/>
        </w:rPr>
        <w:t>Por qué esta Unión Temporal es la opción ganadora</w:t>
      </w:r>
    </w:p>
    <w:p>
      <w:pPr>
        <w:pStyle w:val="ListBullet"/>
        <w:spacing w:after="60"/>
      </w:pPr>
      <w:r>
        <w:rPr>
          <w:b/>
          <w:sz w:val="20"/>
        </w:rPr>
        <w:t xml:space="preserve">Cobertura integral: </w:t>
      </w:r>
      <w:r>
        <w:rPr>
          <w:sz w:val="20"/>
        </w:rPr>
        <w:t>es la única propuesta que combina un integrador de hardware con más de 50 años de trayectoria y más de 1.800 clientes, con un operador de ciberseguridad gestionada con Centro de Operaciones de Seguridad (SOC) propio funcionando 24/7 — dos capacidades que normalmente exigen dos proveedores distintos.</w:t>
      </w:r>
    </w:p>
    <w:p>
      <w:pPr>
        <w:pStyle w:val="ListBullet"/>
        <w:spacing w:after="60"/>
      </w:pPr>
      <w:r>
        <w:rPr>
          <w:b/>
          <w:sz w:val="20"/>
        </w:rPr>
        <w:t xml:space="preserve">Independencia tecnológica: </w:t>
      </w:r>
      <w:r>
        <w:rPr>
          <w:sz w:val="20"/>
        </w:rPr>
        <w:t>cero dependencia de un único fabricante de hardware: la plataforma Sangfor es software definido y corre sobre hardware x86 estándar, lo que da a la Escuela libertad real de negociación y renovación tecnológica a futuro.</w:t>
      </w:r>
    </w:p>
    <w:p>
      <w:pPr>
        <w:pStyle w:val="ListBullet"/>
        <w:spacing w:after="60"/>
      </w:pPr>
      <w:r>
        <w:rPr>
          <w:b/>
          <w:sz w:val="20"/>
        </w:rPr>
        <w:t xml:space="preserve">Cumplimiento sin ambigüedad: </w:t>
      </w:r>
      <w:r>
        <w:rPr>
          <w:sz w:val="20"/>
        </w:rPr>
        <w:t>la arquitectura recomendada no solo cumple los requisitos mínimos del proceso — los supera, con capacidad de almacenamiento un 23% superior al rango exigido y garantía de fabricante de mínimo 3 años.</w:t>
      </w:r>
    </w:p>
    <w:p>
      <w:pPr>
        <w:pStyle w:val="ListBullet"/>
        <w:spacing w:after="60"/>
      </w:pPr>
      <w:r>
        <w:rPr>
          <w:b/>
          <w:sz w:val="20"/>
        </w:rPr>
        <w:t xml:space="preserve">Un solo responsable: </w:t>
      </w:r>
      <w:r>
        <w:rPr>
          <w:sz w:val="20"/>
        </w:rPr>
        <w:t>la Unión Temporal asume responsabilidad solidaria integral frente a la Escuela, con un único interlocutor, un único esquema de soporte y un único Acuerdo de Nivel de Servicio — sin fragmentación entre el proveedor de hardware y el proveedor de software.</w:t>
      </w:r>
    </w:p>
    <w:p>
      <w:r>
        <w:br w:type="page"/>
      </w:r>
    </w:p>
    <w:p>
      <w:pPr>
        <w:pStyle w:val="Heading1"/>
        <w:keepNext/>
        <w:spacing w:before="280" w:after="120"/>
      </w:pPr>
      <w:r>
        <w:rPr>
          <w:color w:val="08387F"/>
          <w:sz w:val="32"/>
        </w:rPr>
        <w:t>Contenido</w:t>
      </w:r>
    </w:p>
    <w:p>
      <w:pPr>
        <w:spacing w:after="40"/>
      </w:pPr>
      <w:r>
        <w:rPr>
          <w:b w:val="0"/>
          <w:i w:val="0"/>
          <w:sz w:val="21"/>
        </w:rPr>
        <w:t>1. Quiénes somos</w:t>
      </w:r>
    </w:p>
    <w:p>
      <w:pPr>
        <w:spacing w:after="40"/>
      </w:pPr>
      <w:r>
        <w:rPr>
          <w:b w:val="0"/>
          <w:i w:val="0"/>
          <w:sz w:val="21"/>
        </w:rPr>
        <w:t>2. Diagnóstico de la infraestructura actual</w:t>
      </w:r>
    </w:p>
    <w:p>
      <w:pPr>
        <w:spacing w:after="40"/>
      </w:pPr>
      <w:r>
        <w:rPr>
          <w:b w:val="0"/>
          <w:i w:val="0"/>
          <w:sz w:val="21"/>
        </w:rPr>
        <w:t>3. Arquitectura de la solución — Sangfor HCI</w:t>
      </w:r>
    </w:p>
    <w:p>
      <w:pPr>
        <w:spacing w:after="40"/>
      </w:pPr>
      <w:r>
        <w:rPr>
          <w:b w:val="0"/>
          <w:i w:val="0"/>
          <w:sz w:val="21"/>
        </w:rPr>
        <w:t>4. Tres alternativas de inversión</w:t>
      </w:r>
    </w:p>
    <w:p>
      <w:pPr>
        <w:spacing w:after="40"/>
      </w:pPr>
      <w:r>
        <w:rPr>
          <w:b w:val="0"/>
          <w:i w:val="0"/>
          <w:sz w:val="21"/>
        </w:rPr>
        <w:t>5. Arquitectura de hardware — HPE</w:t>
      </w:r>
    </w:p>
    <w:p>
      <w:pPr>
        <w:spacing w:after="40"/>
      </w:pPr>
      <w:r>
        <w:rPr>
          <w:b w:val="0"/>
          <w:i w:val="0"/>
          <w:sz w:val="21"/>
        </w:rPr>
        <w:t>6. Plan de migración y continuidad</w:t>
      </w:r>
    </w:p>
    <w:p>
      <w:pPr>
        <w:spacing w:after="40"/>
      </w:pPr>
      <w:r>
        <w:rPr>
          <w:b w:val="0"/>
          <w:i w:val="0"/>
          <w:sz w:val="21"/>
        </w:rPr>
        <w:t>7. Alta disponibilidad, recuperación ante desastres y seguridad</w:t>
      </w:r>
    </w:p>
    <w:p>
      <w:pPr>
        <w:spacing w:after="40"/>
      </w:pPr>
      <w:r>
        <w:rPr>
          <w:b w:val="0"/>
          <w:i w:val="0"/>
          <w:sz w:val="21"/>
        </w:rPr>
        <w:t>8. Acuerdos de Nivel de Servicio</w:t>
      </w:r>
    </w:p>
    <w:p>
      <w:pPr>
        <w:spacing w:after="40"/>
      </w:pPr>
      <w:r>
        <w:rPr>
          <w:b w:val="0"/>
          <w:i w:val="0"/>
          <w:sz w:val="21"/>
        </w:rPr>
        <w:t>9. Experiencia y respaldo de la Unión Temporal</w:t>
      </w:r>
    </w:p>
    <w:p>
      <w:pPr>
        <w:spacing w:after="40"/>
      </w:pPr>
      <w:r>
        <w:rPr>
          <w:b w:val="0"/>
          <w:i w:val="0"/>
          <w:sz w:val="21"/>
        </w:rPr>
        <w:t>10. Modelo comercial y valores agregados</w:t>
      </w:r>
    </w:p>
    <w:p>
      <w:pPr>
        <w:spacing w:after="40"/>
      </w:pPr>
      <w:r>
        <w:rPr>
          <w:b w:val="0"/>
          <w:i w:val="0"/>
          <w:sz w:val="21"/>
        </w:rPr>
        <w:t>11. Cierre y siguientes pasos</w:t>
      </w:r>
    </w:p>
    <w:p>
      <w:r>
        <w:br w:type="page"/>
      </w:r>
    </w:p>
    <w:p>
      <w:pPr>
        <w:pStyle w:val="Heading1"/>
        <w:keepNext/>
        <w:spacing w:before="280" w:after="120"/>
      </w:pPr>
      <w:r>
        <w:rPr>
          <w:color w:val="08387F"/>
          <w:sz w:val="32"/>
        </w:rPr>
        <w:t>1. Quiénes somos</w:t>
      </w:r>
    </w:p>
    <w:p>
      <w:pPr>
        <w:pStyle w:val="Heading2"/>
        <w:keepNext/>
        <w:spacing w:before="160" w:after="60"/>
      </w:pPr>
      <w:r>
        <w:rPr>
          <w:color w:val="0B5ED7"/>
          <w:sz w:val="25"/>
        </w:rPr>
        <w:t>Blue Label Technologies</w:t>
      </w:r>
    </w:p>
    <w:p>
      <w:pPr>
        <w:spacing w:after="120"/>
      </w:pPr>
      <w:r>
        <w:rPr>
          <w:b w:val="0"/>
          <w:i w:val="0"/>
          <w:sz w:val="21"/>
        </w:rPr>
        <w:t>Blue Label Technologies S.A.S. es un proveedor colombiano de servicios de ciberseguridad gestionada (MSSP), con un Centro de Operaciones de Seguridad (SOC) propio operando de forma ininterrumpida 24 horas al día, los 7 días de la semana. Su modelo de negocio se centra en el acompañamiento extremo a extremo de la infraestructura tecnológica de sus clientes, no en la simple venta de licencias.</w:t>
      </w:r>
    </w:p>
    <w:p>
      <w:pPr>
        <w:pStyle w:val="ListBullet"/>
        <w:spacing w:after="60"/>
      </w:pPr>
      <w:r>
        <w:rPr>
          <w:sz w:val="20"/>
        </w:rPr>
        <w:t>Más de 123 proyectos ejecutados en 25 organizaciones de sectores altamente regulados: salud, manufactura e industria, gobierno y sector financiero.</w:t>
      </w:r>
    </w:p>
    <w:p>
      <w:pPr>
        <w:pStyle w:val="ListBullet"/>
        <w:spacing w:after="60"/>
      </w:pPr>
      <w:r>
        <w:rPr>
          <w:sz w:val="20"/>
        </w:rPr>
        <w:t>Aliado tecnológico certificado de Sangfor para hiperconvergencia y virtualización de servidores — alianza directamente relevante para esta propuesta.</w:t>
      </w:r>
    </w:p>
    <w:p>
      <w:pPr>
        <w:pStyle w:val="ListBullet"/>
        <w:spacing w:after="60"/>
      </w:pPr>
      <w:r>
        <w:rPr>
          <w:sz w:val="20"/>
        </w:rPr>
        <w:t>Certificaciones y marcos de cumplimiento: ISO/IEC 27001, marco NIST de ciber-resiliencia, Ley 1581 de Habeas Data.</w:t>
      </w:r>
    </w:p>
    <w:p>
      <w:pPr>
        <w:pStyle w:val="ListBullet"/>
        <w:spacing w:after="60"/>
      </w:pPr>
      <w:r>
        <w:rPr>
          <w:sz w:val="20"/>
        </w:rPr>
        <w:t>Cofundadores: Camilo Gómez Uribe (CEO, más de 20 años en Health Tech y transformación digital) y Rodrigo Lozano Mora (COO, ciberseguridad, inteligencia artificial y modernización de arquitectura).</w:t>
      </w:r>
    </w:p>
    <w:p>
      <w:pPr>
        <w:pStyle w:val="Heading2"/>
        <w:keepNext/>
        <w:spacing w:before="160" w:after="60"/>
      </w:pPr>
      <w:r>
        <w:rPr>
          <w:color w:val="0B5ED7"/>
          <w:sz w:val="25"/>
        </w:rPr>
        <w:t>Cydesys</w:t>
      </w:r>
    </w:p>
    <w:p>
      <w:pPr>
        <w:spacing w:after="120"/>
      </w:pPr>
      <w:r>
        <w:rPr>
          <w:b w:val="0"/>
          <w:i w:val="0"/>
          <w:sz w:val="21"/>
        </w:rPr>
        <w:t>Cyberware S.A.S., bajo la marca comercial Cydesys, es una compañía activa desde 1960 — más de 50 años de trayectoria como mayorista de soluciones tecnológicas para el diseño, la construcción y la administración de infraestructura de datacenter y telecomunicaciones. Su oficina central está en Bogotá, con bodegas propias en Miami y Nueva York que garantizan capacidad logística de importación y disponibilidad de repuestos.</w:t>
      </w:r>
    </w:p>
    <w:p>
      <w:pPr>
        <w:pStyle w:val="ListBullet"/>
        <w:spacing w:after="60"/>
      </w:pPr>
      <w:r>
        <w:rPr>
          <w:sz w:val="20"/>
        </w:rPr>
        <w:t>Más de 1.800 clientes satisfechos y más de 1.200 soluciones de infraestructura implementadas a lo largo de su historia.</w:t>
      </w:r>
    </w:p>
    <w:p>
      <w:pPr>
        <w:pStyle w:val="ListBullet"/>
        <w:spacing w:after="60"/>
      </w:pPr>
      <w:r>
        <w:rPr>
          <w:sz w:val="20"/>
        </w:rPr>
        <w:t>Alianzas de fabricante de largo plazo con HPE, IBM, Lenovo, Oracle, Dell Technologies, Huawei, Microsoft, Cisco y Fortinet.</w:t>
      </w:r>
    </w:p>
    <w:p>
      <w:pPr>
        <w:pStyle w:val="ListBullet"/>
        <w:spacing w:after="60"/>
      </w:pPr>
      <w:r>
        <w:rPr>
          <w:sz w:val="20"/>
        </w:rPr>
        <w:t>Portafolio integral: soporte de infraestructura, cableado estructurado, ciberseguridad, renting de servidores y telecomunicaciones.</w:t>
      </w:r>
    </w:p>
    <w:p>
      <w:pPr>
        <w:pStyle w:val="Heading2"/>
        <w:keepNext/>
        <w:spacing w:before="160" w:after="60"/>
      </w:pPr>
      <w:r>
        <w:rPr>
          <w:color w:val="0B5ED7"/>
          <w:sz w:val="25"/>
        </w:rPr>
        <w:t>Por qué la Unión Temporal</w:t>
      </w:r>
    </w:p>
    <w:p>
      <w:pPr>
        <w:spacing w:after="120"/>
      </w:pPr>
      <w:r>
        <w:rPr>
          <w:b w:val="0"/>
          <w:i w:val="0"/>
          <w:sz w:val="21"/>
        </w:rPr>
        <w:t>La combinación de la capacidad de integración física de Cydesys con la operación de seguridad gestionada de Blue Label Technologies crea, para la Escuela Colombiana de Ingeniería Julio Garavito, un ecosistema tecnológico completo: desde el suministro y garantía del hardware, hasta la operación segura de la plataforma virtualizada día a día. La Unión Temporal asume responsabilidad solidaria ante la Escuela, con garantías y Acuerdo de Nivel de Servicio unificados, evitando que la institución tenga que coordinar entre dos proveedores independientes ante cualquier incidente.</w:t>
      </w:r>
    </w:p>
    <w:p>
      <w:r>
        <w:br w:type="page"/>
      </w:r>
    </w:p>
    <w:p>
      <w:pPr>
        <w:pStyle w:val="Heading1"/>
        <w:keepNext/>
        <w:spacing w:before="280" w:after="120"/>
      </w:pPr>
      <w:r>
        <w:rPr>
          <w:color w:val="08387F"/>
          <w:sz w:val="32"/>
        </w:rPr>
        <w:t>2. Diagnóstico de la infraestructura actual</w:t>
      </w:r>
    </w:p>
    <w:p>
      <w:pPr>
        <w:spacing w:after="120"/>
      </w:pPr>
      <w:r>
        <w:rPr>
          <w:b w:val="0"/>
          <w:i w:val="0"/>
          <w:sz w:val="21"/>
        </w:rPr>
        <w:t>El levantamiento técnico realizado sobre la plataforma actual de la Escuela —a partir del inventario RVTools extraído directamente de vCenter— confirma la urgencia de la modernización propuesta.</w:t>
      </w:r>
    </w:p>
    <w:tbl>
      <w:tblPr>
        <w:tblStyle w:val="LightGrid-Accent1"/>
        <w:tblW w:type="auto" w:w="0"/>
        <w:jc w:val="center"/>
        <w:tblLook w:firstColumn="1" w:firstRow="1" w:lastColumn="0" w:lastRow="0" w:noHBand="0" w:noVBand="1" w:val="04A0"/>
      </w:tblPr>
      <w:tblGrid>
        <w:gridCol w:w="4320"/>
        <w:gridCol w:w="4320"/>
      </w:tblGrid>
      <w:tr>
        <w:tc>
          <w:tcPr>
            <w:tcW w:type="dxa" w:w="4320"/>
            <w:shd w:fill="08387F"/>
          </w:tcPr>
          <w:p>
            <w:pPr>
              <w:spacing w:after="0"/>
            </w:pPr>
            <w:r/>
            <w:r>
              <w:rPr>
                <w:b/>
                <w:color w:val="FFFFFF"/>
                <w:sz w:val="18"/>
              </w:rPr>
              <w:t>Componente</w:t>
            </w:r>
          </w:p>
        </w:tc>
        <w:tc>
          <w:tcPr>
            <w:tcW w:type="dxa" w:w="4320"/>
            <w:shd w:fill="08387F"/>
          </w:tcPr>
          <w:p>
            <w:pPr>
              <w:spacing w:after="0"/>
            </w:pPr>
            <w:r/>
            <w:r>
              <w:rPr>
                <w:b/>
                <w:color w:val="FFFFFF"/>
                <w:sz w:val="18"/>
              </w:rPr>
              <w:t>Estado actual</w:t>
            </w:r>
          </w:p>
        </w:tc>
      </w:tr>
      <w:tr>
        <w:tc>
          <w:tcPr>
            <w:tcW w:type="dxa" w:w="4320"/>
          </w:tcPr>
          <w:p>
            <w:pPr>
              <w:spacing w:after="0"/>
            </w:pPr>
            <w:r/>
            <w:r>
              <w:rPr>
                <w:sz w:val="18"/>
              </w:rPr>
              <w:t>Clúster de cómputo</w:t>
            </w:r>
          </w:p>
        </w:tc>
        <w:tc>
          <w:tcPr>
            <w:tcW w:type="dxa" w:w="4320"/>
          </w:tcPr>
          <w:p>
            <w:pPr>
              <w:spacing w:after="0"/>
            </w:pPr>
            <w:r/>
            <w:r>
              <w:rPr>
                <w:sz w:val="18"/>
              </w:rPr>
              <w:t>4 nodos: 2× Dell PowerEdge R740XD, 2× Dell PowerEdge R740</w:t>
            </w:r>
          </w:p>
        </w:tc>
      </w:tr>
      <w:tr>
        <w:tc>
          <w:tcPr>
            <w:tcW w:type="dxa" w:w="4320"/>
          </w:tcPr>
          <w:p>
            <w:pPr>
              <w:spacing w:after="0"/>
            </w:pPr>
            <w:r/>
            <w:r>
              <w:rPr>
                <w:sz w:val="18"/>
              </w:rPr>
              <w:t>Procesadores</w:t>
            </w:r>
          </w:p>
        </w:tc>
        <w:tc>
          <w:tcPr>
            <w:tcW w:type="dxa" w:w="4320"/>
          </w:tcPr>
          <w:p>
            <w:pPr>
              <w:spacing w:after="0"/>
            </w:pPr>
            <w:r/>
            <w:r>
              <w:rPr>
                <w:sz w:val="18"/>
              </w:rPr>
              <w:t>Intel Xeon Silver 4114 (3 nodos) y 4214 (1 nodo) — 84 cores físicos, 168 hilos</w:t>
            </w:r>
          </w:p>
        </w:tc>
      </w:tr>
      <w:tr>
        <w:tc>
          <w:tcPr>
            <w:tcW w:type="dxa" w:w="4320"/>
          </w:tcPr>
          <w:p>
            <w:pPr>
              <w:spacing w:after="0"/>
            </w:pPr>
            <w:r/>
            <w:r>
              <w:rPr>
                <w:sz w:val="18"/>
              </w:rPr>
              <w:t>Memoria</w:t>
            </w:r>
          </w:p>
        </w:tc>
        <w:tc>
          <w:tcPr>
            <w:tcW w:type="dxa" w:w="4320"/>
          </w:tcPr>
          <w:p>
            <w:pPr>
              <w:spacing w:after="0"/>
            </w:pPr>
            <w:r/>
            <w:r>
              <w:rPr>
                <w:sz w:val="18"/>
              </w:rPr>
              <w:t>384 GB RAM por nodo — 1,53 TB agregados</w:t>
            </w:r>
          </w:p>
        </w:tc>
      </w:tr>
      <w:tr>
        <w:tc>
          <w:tcPr>
            <w:tcW w:type="dxa" w:w="4320"/>
          </w:tcPr>
          <w:p>
            <w:pPr>
              <w:spacing w:after="0"/>
            </w:pPr>
            <w:r/>
            <w:r>
              <w:rPr>
                <w:sz w:val="18"/>
              </w:rPr>
              <w:t>Hipervisor</w:t>
            </w:r>
          </w:p>
        </w:tc>
        <w:tc>
          <w:tcPr>
            <w:tcW w:type="dxa" w:w="4320"/>
          </w:tcPr>
          <w:p>
            <w:pPr>
              <w:spacing w:after="0"/>
            </w:pPr>
            <w:r/>
            <w:r>
              <w:rPr>
                <w:sz w:val="18"/>
              </w:rPr>
              <w:t>VMware ESXi 7.0.3, gestión centralizada en vCenter 7</w:t>
            </w:r>
          </w:p>
        </w:tc>
      </w:tr>
      <w:tr>
        <w:tc>
          <w:tcPr>
            <w:tcW w:type="dxa" w:w="4320"/>
          </w:tcPr>
          <w:p>
            <w:pPr>
              <w:spacing w:after="0"/>
            </w:pPr>
            <w:r/>
            <w:r>
              <w:rPr>
                <w:sz w:val="18"/>
              </w:rPr>
              <w:t>Almacenamiento</w:t>
            </w:r>
          </w:p>
        </w:tc>
        <w:tc>
          <w:tcPr>
            <w:tcW w:type="dxa" w:w="4320"/>
          </w:tcPr>
          <w:p>
            <w:pPr>
              <w:spacing w:after="0"/>
            </w:pPr>
            <w:r/>
            <w:r>
              <w:rPr>
                <w:sz w:val="18"/>
              </w:rPr>
              <w:t>61,44 TB brutos, con ocupación cercana al 70% y en aumento sostenido</w:t>
            </w:r>
          </w:p>
        </w:tc>
      </w:tr>
      <w:tr>
        <w:tc>
          <w:tcPr>
            <w:tcW w:type="dxa" w:w="4320"/>
          </w:tcPr>
          <w:p>
            <w:pPr>
              <w:spacing w:after="0"/>
            </w:pPr>
            <w:r/>
            <w:r>
              <w:rPr>
                <w:sz w:val="18"/>
              </w:rPr>
              <w:t>Red</w:t>
            </w:r>
          </w:p>
        </w:tc>
        <w:tc>
          <w:tcPr>
            <w:tcW w:type="dxa" w:w="4320"/>
          </w:tcPr>
          <w:p>
            <w:pPr>
              <w:spacing w:after="0"/>
            </w:pPr>
            <w:r/>
            <w:r>
              <w:rPr>
                <w:sz w:val="18"/>
              </w:rPr>
              <w:t>Switch core Extreme VSP7254XSQ (10 Gbps), firewall perimetral Checkpoint 9300</w:t>
            </w:r>
          </w:p>
        </w:tc>
      </w:tr>
      <w:tr>
        <w:tc>
          <w:tcPr>
            <w:tcW w:type="dxa" w:w="4320"/>
          </w:tcPr>
          <w:p>
            <w:pPr>
              <w:spacing w:after="0"/>
            </w:pPr>
            <w:r/>
            <w:r>
              <w:rPr>
                <w:sz w:val="18"/>
              </w:rPr>
              <w:t>Cargas de trabajo</w:t>
            </w:r>
          </w:p>
        </w:tc>
        <w:tc>
          <w:tcPr>
            <w:tcW w:type="dxa" w:w="4320"/>
          </w:tcPr>
          <w:p>
            <w:pPr>
              <w:spacing w:after="0"/>
            </w:pPr>
            <w:r/>
            <w:r>
              <w:rPr>
                <w:sz w:val="18"/>
              </w:rPr>
              <w:t>66 máquinas virtuales dentro del alcance de modernización</w:t>
            </w:r>
          </w:p>
        </w:tc>
      </w:tr>
      <w:tr>
        <w:tc>
          <w:tcPr>
            <w:tcW w:type="dxa" w:w="4320"/>
          </w:tcPr>
          <w:p>
            <w:pPr>
              <w:spacing w:after="0"/>
            </w:pPr>
            <w:r/>
            <w:r>
              <w:rPr>
                <w:sz w:val="18"/>
              </w:rPr>
              <w:t>Integraciones externas</w:t>
            </w:r>
          </w:p>
        </w:tc>
        <w:tc>
          <w:tcPr>
            <w:tcW w:type="dxa" w:w="4320"/>
          </w:tcPr>
          <w:p>
            <w:pPr>
              <w:spacing w:after="0"/>
            </w:pPr>
            <w:r/>
            <w:r>
              <w:rPr>
                <w:sz w:val="18"/>
              </w:rPr>
              <w:t>Oracle OCI (sistema académico), AWS (portal web), Azure (gestión de calidad)</w:t>
            </w:r>
          </w:p>
        </w:tc>
      </w:tr>
    </w:tbl>
    <w:p>
      <w:pPr>
        <w:spacing w:after="80"/>
      </w:pPr>
    </w:p>
    <w:p>
      <w:pPr>
        <w:spacing w:after="120"/>
      </w:pPr>
      <w:r>
        <w:rPr>
          <w:b w:val="0"/>
          <w:i/>
          <w:color w:val="42506B"/>
          <w:sz w:val="21"/>
        </w:rPr>
        <w:t>Esta radiografía confirma tres riesgos concretos que la modernización propuesta resuelve de raíz: capacidad de almacenamiento cercana al límite operativo, ausencia de un esquema formal de recuperación ante desastres, y una plataforma de cómputo que se acerca al fin de su ciclo de soporte de fábrica.</w:t>
      </w:r>
    </w:p>
    <w:p>
      <w:r>
        <w:br w:type="page"/>
      </w:r>
    </w:p>
    <w:p>
      <w:pPr>
        <w:pStyle w:val="Heading1"/>
        <w:keepNext/>
        <w:spacing w:before="280" w:after="120"/>
      </w:pPr>
      <w:r>
        <w:rPr>
          <w:color w:val="08387F"/>
          <w:sz w:val="32"/>
        </w:rPr>
        <w:t>3. Arquitectura de la solución — Sangfor HCI</w:t>
      </w:r>
    </w:p>
    <w:p>
      <w:pPr>
        <w:spacing w:after="120"/>
      </w:pPr>
      <w:r>
        <w:rPr>
          <w:b w:val="0"/>
          <w:i w:val="0"/>
          <w:sz w:val="21"/>
        </w:rPr>
        <w:t>La propuesta reemplaza la pila actual —fragmentada entre fabricantes de hardware, red y virtualización, gestionados con herramientas separadas— por una plataforma unificada Sangfor: virtualización de cómputo (aSV) y de red (aNet) sobre hardware estándar x86, con una sola licencia y una sola consola de administración centralizada.</w:t>
      </w:r>
    </w:p>
    <w:p>
      <w:pPr>
        <w:spacing w:after="40"/>
        <w:jc w:val="center"/>
      </w:pPr>
      <w:r>
        <w:drawing>
          <wp:inline xmlns:a="http://schemas.openxmlformats.org/drawingml/2006/main" xmlns:pic="http://schemas.openxmlformats.org/drawingml/2006/picture">
            <wp:extent cx="5486400" cy="1978829"/>
            <wp:docPr id="2" name="Picture 2"/>
            <wp:cNvGraphicFramePr>
              <a:graphicFrameLocks noChangeAspect="1"/>
            </wp:cNvGraphicFramePr>
            <a:graphic>
              <a:graphicData uri="http://schemas.openxmlformats.org/drawingml/2006/picture">
                <pic:pic>
                  <pic:nvPicPr>
                    <pic:cNvPr id="0" name="image16.png"/>
                    <pic:cNvPicPr/>
                  </pic:nvPicPr>
                  <pic:blipFill>
                    <a:blip r:embed="rId10"/>
                    <a:stretch>
                      <a:fillRect/>
                    </a:stretch>
                  </pic:blipFill>
                  <pic:spPr>
                    <a:xfrm>
                      <a:off x="0" y="0"/>
                      <a:ext cx="5486400" cy="1978829"/>
                    </a:xfrm>
                    <a:prstGeom prst="rect"/>
                  </pic:spPr>
                </pic:pic>
              </a:graphicData>
            </a:graphic>
          </wp:inline>
        </w:drawing>
      </w:r>
    </w:p>
    <w:p>
      <w:pPr>
        <w:spacing w:after="160"/>
        <w:jc w:val="center"/>
      </w:pPr>
      <w:r>
        <w:rPr>
          <w:i/>
          <w:color w:val="42506B"/>
          <w:sz w:val="17"/>
        </w:rPr>
        <w:t>Arquitectura básica de la plataforma Sangfor: aNET (virtualización de red), aSV (virtualización de servidor) y aSAN (virtualización de almacenamiento), desplegada sobre hardware x86 estándar y switching de propósito general.</w:t>
      </w:r>
    </w:p>
    <w:p>
      <w:pPr>
        <w:pStyle w:val="Heading2"/>
        <w:keepNext/>
        <w:spacing w:before="160" w:after="60"/>
      </w:pPr>
      <w:r>
        <w:rPr>
          <w:color w:val="0B5ED7"/>
          <w:sz w:val="25"/>
        </w:rPr>
        <w:t>De la infraestructura tradicional a la convergencia</w:t>
      </w:r>
    </w:p>
    <w:p>
      <w:pPr>
        <w:spacing w:after="120"/>
      </w:pPr>
      <w:r>
        <w:rPr>
          <w:b w:val="0"/>
          <w:i w:val="0"/>
          <w:sz w:val="21"/>
        </w:rPr>
        <w:t>El mercado de infraestructura de datacenter avanza de forma decidida hacia la convergencia: seguridad, red, switching, cómputo y almacenamiento —tradicionalmente suministrados por fabricantes independientes, con consolas de gestión distintas— se integran en una sola infraestructura hiperconvergente. Esta convergencia reduce la superficie de puntos de falla, simplifica drásticamente la operación diaria del equipo de TI, y acorta los tiempos de respuesta ante incidentes al eliminar la necesidad de correlacionar información entre múltiples consolas.</w:t>
      </w:r>
    </w:p>
    <w:p>
      <w:pPr>
        <w:spacing w:after="40"/>
        <w:jc w:val="center"/>
      </w:pPr>
      <w:r>
        <w:drawing>
          <wp:inline xmlns:a="http://schemas.openxmlformats.org/drawingml/2006/main" xmlns:pic="http://schemas.openxmlformats.org/drawingml/2006/picture">
            <wp:extent cx="5486400" cy="2542610"/>
            <wp:docPr id="3" name="Picture 3"/>
            <wp:cNvGraphicFramePr>
              <a:graphicFrameLocks noChangeAspect="1"/>
            </wp:cNvGraphicFramePr>
            <a:graphic>
              <a:graphicData uri="http://schemas.openxmlformats.org/drawingml/2006/picture">
                <pic:pic>
                  <pic:nvPicPr>
                    <pic:cNvPr id="0" name="image34.png"/>
                    <pic:cNvPicPr/>
                  </pic:nvPicPr>
                  <pic:blipFill>
                    <a:blip r:embed="rId11"/>
                    <a:stretch>
                      <a:fillRect/>
                    </a:stretch>
                  </pic:blipFill>
                  <pic:spPr>
                    <a:xfrm>
                      <a:off x="0" y="0"/>
                      <a:ext cx="5486400" cy="2542610"/>
                    </a:xfrm>
                    <a:prstGeom prst="rect"/>
                  </pic:spPr>
                </pic:pic>
              </a:graphicData>
            </a:graphic>
          </wp:inline>
        </w:drawing>
      </w:r>
    </w:p>
    <w:p>
      <w:pPr>
        <w:spacing w:after="160"/>
        <w:jc w:val="center"/>
      </w:pPr>
      <w:r>
        <w:rPr>
          <w:i/>
          <w:color w:val="42506B"/>
          <w:sz w:val="17"/>
        </w:rPr>
        <w:t>Transición de componentes de infraestructura tradicional, independientes entre sí, a una infraestructura hiperconvergente unificada Sangfor.</w:t>
      </w:r>
    </w:p>
    <w:p>
      <w:pPr>
        <w:pStyle w:val="Heading2"/>
        <w:keepNext/>
        <w:spacing w:before="160" w:after="60"/>
      </w:pPr>
      <w:r>
        <w:rPr>
          <w:color w:val="0B5ED7"/>
          <w:sz w:val="25"/>
        </w:rPr>
        <w:t>Consola de administración unificada</w:t>
      </w:r>
    </w:p>
    <w:p>
      <w:pPr>
        <w:spacing w:after="120"/>
      </w:pPr>
      <w:r>
        <w:rPr>
          <w:b w:val="0"/>
          <w:i w:val="0"/>
          <w:sz w:val="21"/>
        </w:rPr>
        <w:t>Toda la plataforma —nodos físicos, máquinas virtuales, almacenamiento, red y sistema de alertas— se administra desde una sola consola web (SCP), con monitoreo en tiempo real de consumo de CPU, memoria, almacenamiento y estado operativo de cada nodo del clúster. Esta unificación es, en sí misma, una reducción de riesgo operativo: el equipo de OSIRIS deja de operar y correlacionar múltiples herramientas de fabricantes distintos.</w:t>
      </w:r>
    </w:p>
    <w:p>
      <w:pPr>
        <w:spacing w:after="40"/>
        <w:jc w:val="center"/>
      </w:pPr>
      <w:r>
        <w:drawing>
          <wp:inline xmlns:a="http://schemas.openxmlformats.org/drawingml/2006/main" xmlns:pic="http://schemas.openxmlformats.org/drawingml/2006/picture">
            <wp:extent cx="5486400" cy="2255030"/>
            <wp:docPr id="4" name="Picture 4"/>
            <wp:cNvGraphicFramePr>
              <a:graphicFrameLocks noChangeAspect="1"/>
            </wp:cNvGraphicFramePr>
            <a:graphic>
              <a:graphicData uri="http://schemas.openxmlformats.org/drawingml/2006/picture">
                <pic:pic>
                  <pic:nvPicPr>
                    <pic:cNvPr id="0" name="image24.png"/>
                    <pic:cNvPicPr/>
                  </pic:nvPicPr>
                  <pic:blipFill>
                    <a:blip r:embed="rId12"/>
                    <a:stretch>
                      <a:fillRect/>
                    </a:stretch>
                  </pic:blipFill>
                  <pic:spPr>
                    <a:xfrm>
                      <a:off x="0" y="0"/>
                      <a:ext cx="5486400" cy="2255030"/>
                    </a:xfrm>
                    <a:prstGeom prst="rect"/>
                  </pic:spPr>
                </pic:pic>
              </a:graphicData>
            </a:graphic>
          </wp:inline>
        </w:drawing>
      </w:r>
    </w:p>
    <w:p>
      <w:pPr>
        <w:spacing w:after="160"/>
        <w:jc w:val="center"/>
      </w:pPr>
      <w:r>
        <w:rPr>
          <w:i/>
          <w:color w:val="42506B"/>
          <w:sz w:val="17"/>
        </w:rPr>
        <w:t>Consola de administración Sangfor HCI: vista unificada de nodos, máquinas virtuales, consumo de CPU, memoria y almacenamiento en tiempo real.</w:t>
      </w:r>
    </w:p>
    <w:p>
      <w:r>
        <w:br w:type="page"/>
      </w:r>
    </w:p>
    <w:p>
      <w:pPr>
        <w:pStyle w:val="Heading2"/>
        <w:keepNext/>
        <w:spacing w:before="160" w:after="60"/>
      </w:pPr>
      <w:r>
        <w:rPr>
          <w:color w:val="0B5ED7"/>
          <w:sz w:val="25"/>
        </w:rPr>
        <w:t>Equivalencia funcional frente a la plataforma actual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8387F"/>
          </w:tcPr>
          <w:p>
            <w:pPr>
              <w:spacing w:after="0"/>
            </w:pPr>
            <w:r/>
            <w:r>
              <w:rPr>
                <w:b/>
                <w:color w:val="FFFFFF"/>
                <w:sz w:val="18"/>
              </w:rPr>
              <w:t>Capa</w:t>
            </w:r>
          </w:p>
        </w:tc>
        <w:tc>
          <w:tcPr>
            <w:tcW w:type="dxa" w:w="2880"/>
            <w:shd w:fill="08387F"/>
          </w:tcPr>
          <w:p>
            <w:pPr>
              <w:spacing w:after="0"/>
            </w:pPr>
            <w:r/>
            <w:r>
              <w:rPr>
                <w:b/>
                <w:color w:val="FFFFFF"/>
                <w:sz w:val="18"/>
              </w:rPr>
              <w:t>Plataforma actual (VMware/SDDC)</w:t>
            </w:r>
          </w:p>
        </w:tc>
        <w:tc>
          <w:tcPr>
            <w:tcW w:type="dxa" w:w="2880"/>
            <w:shd w:fill="08387F"/>
          </w:tcPr>
          <w:p>
            <w:pPr>
              <w:spacing w:after="0"/>
            </w:pPr>
            <w:r/>
            <w:r>
              <w:rPr>
                <w:b/>
                <w:color w:val="FFFFFF"/>
                <w:sz w:val="18"/>
              </w:rPr>
              <w:t>Plataforma propuesta (Sangfor)</w:t>
            </w:r>
          </w:p>
        </w:tc>
      </w:tr>
      <w:tr>
        <w:tc>
          <w:tcPr>
            <w:tcW w:type="dxa" w:w="2880"/>
          </w:tcPr>
          <w:p>
            <w:pPr>
              <w:spacing w:after="0"/>
            </w:pPr>
            <w:r/>
            <w:r>
              <w:rPr>
                <w:sz w:val="18"/>
              </w:rPr>
              <w:t>Consola de gestión</w:t>
            </w:r>
          </w:p>
        </w:tc>
        <w:tc>
          <w:tcPr>
            <w:tcW w:type="dxa" w:w="2880"/>
          </w:tcPr>
          <w:p>
            <w:pPr>
              <w:spacing w:after="0"/>
            </w:pPr>
            <w:r/>
            <w:r>
              <w:rPr>
                <w:sz w:val="18"/>
              </w:rPr>
              <w:t>vRealize Automation + vRealize Operations</w:t>
            </w:r>
          </w:p>
        </w:tc>
        <w:tc>
          <w:tcPr>
            <w:tcW w:type="dxa" w:w="2880"/>
          </w:tcPr>
          <w:p>
            <w:pPr>
              <w:spacing w:after="0"/>
            </w:pPr>
            <w:r/>
            <w:r>
              <w:rPr>
                <w:sz w:val="18"/>
              </w:rPr>
              <w:t>SCP + SkyOps (monitoreo con inteligencia artificial)</w:t>
            </w:r>
          </w:p>
        </w:tc>
      </w:tr>
      <w:tr>
        <w:tc>
          <w:tcPr>
            <w:tcW w:type="dxa" w:w="2880"/>
          </w:tcPr>
          <w:p>
            <w:pPr>
              <w:spacing w:after="0"/>
            </w:pPr>
            <w:r/>
            <w:r>
              <w:rPr>
                <w:sz w:val="18"/>
              </w:rPr>
              <w:t>Cómputo (hipervisor)</w:t>
            </w:r>
          </w:p>
        </w:tc>
        <w:tc>
          <w:tcPr>
            <w:tcW w:type="dxa" w:w="2880"/>
          </w:tcPr>
          <w:p>
            <w:pPr>
              <w:spacing w:after="0"/>
            </w:pPr>
            <w:r/>
            <w:r>
              <w:rPr>
                <w:sz w:val="18"/>
              </w:rPr>
              <w:t>vSphere</w:t>
            </w:r>
          </w:p>
        </w:tc>
        <w:tc>
          <w:tcPr>
            <w:tcW w:type="dxa" w:w="2880"/>
          </w:tcPr>
          <w:p>
            <w:pPr>
              <w:spacing w:after="0"/>
            </w:pPr>
            <w:r/>
            <w:r>
              <w:rPr>
                <w:sz w:val="18"/>
              </w:rPr>
              <w:t>aSV — en el alcance de esta propuesta</w:t>
            </w:r>
          </w:p>
        </w:tc>
      </w:tr>
      <w:tr>
        <w:tc>
          <w:tcPr>
            <w:tcW w:type="dxa" w:w="2880"/>
          </w:tcPr>
          <w:p>
            <w:pPr>
              <w:spacing w:after="0"/>
            </w:pPr>
            <w:r/>
            <w:r>
              <w:rPr>
                <w:sz w:val="18"/>
              </w:rPr>
              <w:t>Red y seguridad de red</w:t>
            </w:r>
          </w:p>
        </w:tc>
        <w:tc>
          <w:tcPr>
            <w:tcW w:type="dxa" w:w="2880"/>
          </w:tcPr>
          <w:p>
            <w:pPr>
              <w:spacing w:after="0"/>
            </w:pPr>
            <w:r/>
            <w:r>
              <w:rPr>
                <w:sz w:val="18"/>
              </w:rPr>
              <w:t>NSX</w:t>
            </w:r>
          </w:p>
        </w:tc>
        <w:tc>
          <w:tcPr>
            <w:tcW w:type="dxa" w:w="2880"/>
          </w:tcPr>
          <w:p>
            <w:pPr>
              <w:spacing w:after="0"/>
            </w:pPr>
            <w:r/>
            <w:r>
              <w:rPr>
                <w:sz w:val="18"/>
              </w:rPr>
              <w:t>aNet — en el alcance de esta propuesta</w:t>
            </w:r>
          </w:p>
        </w:tc>
      </w:tr>
      <w:tr>
        <w:tc>
          <w:tcPr>
            <w:tcW w:type="dxa" w:w="2880"/>
          </w:tcPr>
          <w:p>
            <w:pPr>
              <w:spacing w:after="0"/>
            </w:pPr>
            <w:r/>
            <w:r>
              <w:rPr>
                <w:sz w:val="18"/>
              </w:rPr>
              <w:t>Recuperación ante desastres</w:t>
            </w:r>
          </w:p>
        </w:tc>
        <w:tc>
          <w:tcPr>
            <w:tcW w:type="dxa" w:w="2880"/>
          </w:tcPr>
          <w:p>
            <w:pPr>
              <w:spacing w:after="0"/>
            </w:pPr>
            <w:r/>
            <w:r>
              <w:rPr>
                <w:sz w:val="18"/>
              </w:rPr>
              <w:t>Site Recovery Manager (licencia aparte)</w:t>
            </w:r>
          </w:p>
        </w:tc>
        <w:tc>
          <w:tcPr>
            <w:tcW w:type="dxa" w:w="2880"/>
          </w:tcPr>
          <w:p>
            <w:pPr>
              <w:spacing w:after="0"/>
            </w:pPr>
            <w:r/>
            <w:r>
              <w:rPr>
                <w:sz w:val="18"/>
              </w:rPr>
              <w:t>CDP + aDR, integrados de forma nativa al hipervisor</w:t>
            </w:r>
          </w:p>
        </w:tc>
      </w:tr>
      <w:tr>
        <w:tc>
          <w:tcPr>
            <w:tcW w:type="dxa" w:w="2880"/>
          </w:tcPr>
          <w:p>
            <w:pPr>
              <w:spacing w:after="0"/>
            </w:pPr>
            <w:r/>
            <w:r>
              <w:rPr>
                <w:sz w:val="18"/>
              </w:rPr>
              <w:t>Respaldo</w:t>
            </w:r>
          </w:p>
        </w:tc>
        <w:tc>
          <w:tcPr>
            <w:tcW w:type="dxa" w:w="2880"/>
          </w:tcPr>
          <w:p>
            <w:pPr>
              <w:spacing w:after="0"/>
            </w:pPr>
            <w:r/>
            <w:r>
              <w:rPr>
                <w:sz w:val="18"/>
              </w:rPr>
              <w:t>Herramienta de terceros aparte</w:t>
            </w:r>
          </w:p>
        </w:tc>
        <w:tc>
          <w:tcPr>
            <w:tcW w:type="dxa" w:w="2880"/>
          </w:tcPr>
          <w:p>
            <w:pPr>
              <w:spacing w:after="0"/>
            </w:pPr>
            <w:r/>
            <w:r>
              <w:rPr>
                <w:sz w:val="18"/>
              </w:rPr>
              <w:t>Backup nativo incluido en la licencia (Built-in Backup)</w:t>
            </w:r>
          </w:p>
        </w:tc>
      </w:tr>
    </w:tbl>
    <w:p>
      <w:pPr>
        <w:spacing w:after="80"/>
      </w:pPr>
    </w:p>
    <w:p>
      <w:pPr>
        <w:keepNext/>
        <w:spacing w:before="120" w:after="40"/>
      </w:pPr>
      <w:r>
        <w:rPr>
          <w:b/>
          <w:color w:val="08387F"/>
          <w:sz w:val="21"/>
        </w:rPr>
        <w:t>Funcionalidades incluidas de forma nativa</w:t>
      </w:r>
    </w:p>
    <w:p>
      <w:pPr>
        <w:pStyle w:val="ListBullet"/>
        <w:spacing w:after="60"/>
      </w:pPr>
      <w:r>
        <w:rPr>
          <w:sz w:val="20"/>
        </w:rPr>
        <w:t>Alta disponibilidad multi-activa, con tolerancia a la pérdida simultánea de hasta dos nodos sin interrupción del servicio.</w:t>
      </w:r>
    </w:p>
    <w:p>
      <w:pPr>
        <w:pStyle w:val="ListBullet"/>
        <w:spacing w:after="60"/>
      </w:pPr>
      <w:r>
        <w:rPr>
          <w:sz w:val="20"/>
        </w:rPr>
        <w:t>Migración en vivo (live migration) de cargas de trabajo, sin ventanas de mantenimiento visibles para el usuario final.</w:t>
      </w:r>
    </w:p>
    <w:p>
      <w:pPr>
        <w:pStyle w:val="ListBullet"/>
        <w:spacing w:after="60"/>
      </w:pPr>
      <w:r>
        <w:rPr>
          <w:sz w:val="20"/>
        </w:rPr>
        <w:t>Snapshots inmutables, clonación de máquinas virtuales, gestión de plantillas y aprovisionamiento ligero de almacenamiento (thin provisioning).</w:t>
      </w:r>
    </w:p>
    <w:p>
      <w:pPr>
        <w:pStyle w:val="ListBullet"/>
        <w:spacing w:after="60"/>
      </w:pPr>
      <w:r>
        <w:rPr>
          <w:sz w:val="20"/>
        </w:rPr>
        <w:t>Balanceo automático de carga entre nodos y reinicio automático de máquinas virtuales ante falla física de un nodo.</w:t>
      </w:r>
    </w:p>
    <w:p>
      <w:r>
        <w:br w:type="page"/>
      </w:r>
    </w:p>
    <w:p>
      <w:pPr>
        <w:pStyle w:val="Heading1"/>
        <w:keepNext/>
        <w:spacing w:before="280" w:after="120"/>
      </w:pPr>
      <w:r>
        <w:rPr>
          <w:color w:val="08387F"/>
          <w:sz w:val="32"/>
        </w:rPr>
        <w:t>4. Tres alternativas de inversión</w:t>
      </w:r>
    </w:p>
    <w:p>
      <w:pPr>
        <w:spacing w:after="120"/>
      </w:pPr>
      <w:r>
        <w:rPr>
          <w:b w:val="0"/>
          <w:i w:val="0"/>
          <w:sz w:val="21"/>
        </w:rPr>
        <w:t>Los Términos de Referencia invitan explícitamente a distintos enfoques arquitectónicos y permiten ofertar más de un modelo de adquisición dentro de la misma propuesta. La Unión Temporal presenta tres rutas, todas construidas sobre la misma plataforma Sangfor, para que la Escuela decida con información completa según su prioridad estratégica: control del activo, optimización presupuestal, o previsibilidad de flujo de caja.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8387F"/>
          </w:tcPr>
          <w:p>
            <w:pPr>
              <w:spacing w:after="0"/>
            </w:pPr>
            <w:r/>
            <w:r>
              <w:rPr>
                <w:b/>
                <w:color w:val="FFFFFF"/>
                <w:sz w:val="18"/>
              </w:rPr>
              <w:t>Alternativa</w:t>
            </w:r>
          </w:p>
        </w:tc>
        <w:tc>
          <w:tcPr>
            <w:tcW w:type="dxa" w:w="2880"/>
            <w:shd w:fill="08387F"/>
          </w:tcPr>
          <w:p>
            <w:pPr>
              <w:spacing w:after="0"/>
            </w:pPr>
            <w:r/>
            <w:r>
              <w:rPr>
                <w:b/>
                <w:color w:val="FFFFFF"/>
                <w:sz w:val="18"/>
              </w:rPr>
              <w:t>Modelo</w:t>
            </w:r>
          </w:p>
        </w:tc>
        <w:tc>
          <w:tcPr>
            <w:tcW w:type="dxa" w:w="2880"/>
            <w:shd w:fill="08387F"/>
          </w:tcPr>
          <w:p>
            <w:pPr>
              <w:spacing w:after="0"/>
            </w:pPr>
            <w:r/>
            <w:r>
              <w:rPr>
                <w:b/>
                <w:color w:val="FFFFFF"/>
                <w:sz w:val="18"/>
              </w:rPr>
              <w:t>Encaja si la prioridad es…</w:t>
            </w:r>
          </w:p>
        </w:tc>
      </w:tr>
      <w:tr>
        <w:tc>
          <w:tcPr>
            <w:tcW w:type="dxa" w:w="2880"/>
          </w:tcPr>
          <w:p>
            <w:pPr>
              <w:spacing w:after="0"/>
            </w:pPr>
            <w:r/>
            <w:r>
              <w:rPr>
                <w:sz w:val="18"/>
              </w:rPr>
              <w:t>1 · Infraestructura nueva</w:t>
            </w:r>
          </w:p>
        </w:tc>
        <w:tc>
          <w:tcPr>
            <w:tcW w:type="dxa" w:w="2880"/>
          </w:tcPr>
          <w:p>
            <w:pPr>
              <w:spacing w:after="0"/>
            </w:pPr>
            <w:r/>
            <w:r>
              <w:rPr>
                <w:sz w:val="18"/>
              </w:rPr>
              <w:t>CapEx completo — clúster Sangfor sobre hardware HPE 100% nuevo</w:t>
            </w:r>
          </w:p>
        </w:tc>
        <w:tc>
          <w:tcPr>
            <w:tcW w:type="dxa" w:w="2880"/>
          </w:tcPr>
          <w:p>
            <w:pPr>
              <w:spacing w:after="0"/>
            </w:pPr>
            <w:r/>
            <w:r>
              <w:rPr>
                <w:sz w:val="18"/>
              </w:rPr>
              <w:t>Control total del activo y cero riesgo de interpretación técnica en la evaluación</w:t>
            </w:r>
          </w:p>
        </w:tc>
      </w:tr>
      <w:tr>
        <w:tc>
          <w:tcPr>
            <w:tcW w:type="dxa" w:w="2880"/>
          </w:tcPr>
          <w:p>
            <w:pPr>
              <w:spacing w:after="0"/>
            </w:pPr>
            <w:r/>
            <w:r>
              <w:rPr>
                <w:sz w:val="18"/>
              </w:rPr>
              <w:t>2 · Actualización híbrida</w:t>
            </w:r>
          </w:p>
        </w:tc>
        <w:tc>
          <w:tcPr>
            <w:tcW w:type="dxa" w:w="2880"/>
          </w:tcPr>
          <w:p>
            <w:pPr>
              <w:spacing w:after="0"/>
            </w:pPr>
            <w:r/>
            <w:r>
              <w:rPr>
                <w:sz w:val="18"/>
              </w:rPr>
              <w:t>CapEx reducido — se reemplaza solo lo que exige actualización obligatoria</w:t>
            </w:r>
          </w:p>
        </w:tc>
        <w:tc>
          <w:tcPr>
            <w:tcW w:type="dxa" w:w="2880"/>
          </w:tcPr>
          <w:p>
            <w:pPr>
              <w:spacing w:after="0"/>
            </w:pPr>
            <w:r/>
            <w:r>
              <w:rPr>
                <w:sz w:val="18"/>
              </w:rPr>
              <w:t>Optimizar presupuesto sin sacrificar la garantía de cumplimiento técnico</w:t>
            </w:r>
          </w:p>
        </w:tc>
      </w:tr>
      <w:tr>
        <w:tc>
          <w:tcPr>
            <w:tcW w:type="dxa" w:w="2880"/>
          </w:tcPr>
          <w:p>
            <w:pPr>
              <w:spacing w:after="0"/>
            </w:pPr>
            <w:r/>
            <w:r>
              <w:rPr>
                <w:sz w:val="18"/>
              </w:rPr>
              <w:t>3 · Arriendo equivalente</w:t>
            </w:r>
          </w:p>
        </w:tc>
        <w:tc>
          <w:tcPr>
            <w:tcW w:type="dxa" w:w="2880"/>
          </w:tcPr>
          <w:p>
            <w:pPr>
              <w:spacing w:after="0"/>
            </w:pPr>
            <w:r/>
            <w:r>
              <w:rPr>
                <w:sz w:val="18"/>
              </w:rPr>
              <w:t>OpEx puro — la misma capacidad como servicio gestionado</w:t>
            </w:r>
          </w:p>
        </w:tc>
        <w:tc>
          <w:tcPr>
            <w:tcW w:type="dxa" w:w="2880"/>
          </w:tcPr>
          <w:p>
            <w:pPr>
              <w:spacing w:after="0"/>
            </w:pPr>
            <w:r/>
            <w:r>
              <w:rPr>
                <w:sz w:val="18"/>
              </w:rPr>
              <w:t>Previsibilidad de flujo de caja y transferir el riesgo de renovación tecnológica al proveedor</w:t>
            </w:r>
          </w:p>
        </w:tc>
      </w:tr>
    </w:tbl>
    <w:p>
      <w:pPr>
        <w:spacing w:after="80"/>
      </w:pPr>
    </w:p>
    <w:p>
      <w:pPr>
        <w:spacing w:after="120"/>
      </w:pPr>
      <w:r>
        <w:rPr>
          <w:b/>
          <w:i w:val="0"/>
          <w:sz w:val="21"/>
        </w:rPr>
        <w:t>La Unión Temporal recomienda la Alternativa 1 como ruta principal — HPE ProLiant DL380 Gen11, ver Capítulo 5 — por ser la única que elimina cualquier ambigüedad de cumplimiento frente a los requisitos técnicos de última generación, con la Alternativa 3 disponible como opción diferenciadora frente a otros proponentes que solo ofertan compra directa.</w:t>
      </w:r>
    </w:p>
    <w:p>
      <w:r>
        <w:br w:type="page"/>
      </w:r>
    </w:p>
    <w:p>
      <w:pPr>
        <w:pStyle w:val="Heading1"/>
        <w:keepNext/>
        <w:spacing w:before="280" w:after="120"/>
      </w:pPr>
      <w:r>
        <w:rPr>
          <w:color w:val="08387F"/>
          <w:sz w:val="32"/>
        </w:rPr>
        <w:t>5. Arquitectura de hardware — HPE</w:t>
      </w:r>
    </w:p>
    <w:p>
      <w:pPr>
        <w:spacing w:after="120"/>
      </w:pPr>
      <w:r>
        <w:rPr>
          <w:b w:val="0"/>
          <w:i w:val="0"/>
          <w:sz w:val="21"/>
        </w:rPr>
        <w:t>Cydesys, como integrador físico de la Unión Temporal, recomienda servidores HPE ProLiant DL380 Gen11 — la generación más reciente disponible del fabricante líder del Cuadrante de Gartner para servidores de propósito general— configurados específicamente para el perfil de carga de la Escuela.</w:t>
      </w:r>
    </w:p>
    <w:tbl>
      <w:tblPr>
        <w:tblStyle w:val="LightGrid-Accent1"/>
        <w:tblW w:type="auto" w:w="0"/>
        <w:jc w:val="center"/>
        <w:tblLook w:firstColumn="1" w:firstRow="1" w:lastColumn="0" w:lastRow="0" w:noHBand="0" w:noVBand="1" w:val="04A0"/>
      </w:tblPr>
      <w:tblGrid>
        <w:gridCol w:w="4320"/>
        <w:gridCol w:w="4320"/>
      </w:tblGrid>
      <w:tr>
        <w:tc>
          <w:tcPr>
            <w:tcW w:type="dxa" w:w="4320"/>
            <w:shd w:fill="08387F"/>
          </w:tcPr>
          <w:p>
            <w:pPr>
              <w:spacing w:after="0"/>
            </w:pPr>
            <w:r/>
            <w:r>
              <w:rPr>
                <w:b/>
                <w:color w:val="FFFFFF"/>
                <w:sz w:val="18"/>
              </w:rPr>
              <w:t>Componente</w:t>
            </w:r>
          </w:p>
        </w:tc>
        <w:tc>
          <w:tcPr>
            <w:tcW w:type="dxa" w:w="4320"/>
            <w:shd w:fill="08387F"/>
          </w:tcPr>
          <w:p>
            <w:pPr>
              <w:spacing w:after="0"/>
            </w:pPr>
            <w:r/>
            <w:r>
              <w:rPr>
                <w:b/>
                <w:color w:val="FFFFFF"/>
                <w:sz w:val="18"/>
              </w:rPr>
              <w:t>Especificación</w:t>
            </w:r>
          </w:p>
        </w:tc>
      </w:tr>
      <w:tr>
        <w:tc>
          <w:tcPr>
            <w:tcW w:type="dxa" w:w="4320"/>
          </w:tcPr>
          <w:p>
            <w:pPr>
              <w:spacing w:after="0"/>
            </w:pPr>
            <w:r/>
            <w:r>
              <w:rPr>
                <w:sz w:val="18"/>
              </w:rPr>
              <w:t>Procesador</w:t>
            </w:r>
          </w:p>
        </w:tc>
        <w:tc>
          <w:tcPr>
            <w:tcW w:type="dxa" w:w="4320"/>
          </w:tcPr>
          <w:p>
            <w:pPr>
              <w:spacing w:after="0"/>
            </w:pPr>
            <w:r/>
            <w:r>
              <w:rPr>
                <w:sz w:val="18"/>
              </w:rPr>
              <w:t>Intel Xeon Silver 4516Y+ — 5.ª generación (Sapphire Rapids)</w:t>
            </w:r>
          </w:p>
        </w:tc>
      </w:tr>
      <w:tr>
        <w:tc>
          <w:tcPr>
            <w:tcW w:type="dxa" w:w="4320"/>
          </w:tcPr>
          <w:p>
            <w:pPr>
              <w:spacing w:after="0"/>
            </w:pPr>
            <w:r/>
            <w:r>
              <w:rPr>
                <w:sz w:val="18"/>
              </w:rPr>
              <w:t>Memoria</w:t>
            </w:r>
          </w:p>
        </w:tc>
        <w:tc>
          <w:tcPr>
            <w:tcW w:type="dxa" w:w="4320"/>
          </w:tcPr>
          <w:p>
            <w:pPr>
              <w:spacing w:after="0"/>
            </w:pPr>
            <w:r/>
            <w:r>
              <w:rPr>
                <w:sz w:val="18"/>
              </w:rPr>
              <w:t>DDR5 5600, Dual Rank, con holgura de crecimiento incorporada</w:t>
            </w:r>
          </w:p>
        </w:tc>
      </w:tr>
      <w:tr>
        <w:tc>
          <w:tcPr>
            <w:tcW w:type="dxa" w:w="4320"/>
          </w:tcPr>
          <w:p>
            <w:pPr>
              <w:spacing w:after="0"/>
            </w:pPr>
            <w:r/>
            <w:r>
              <w:rPr>
                <w:sz w:val="18"/>
              </w:rPr>
              <w:t>Almacenamiento local</w:t>
            </w:r>
          </w:p>
        </w:tc>
        <w:tc>
          <w:tcPr>
            <w:tcW w:type="dxa" w:w="4320"/>
          </w:tcPr>
          <w:p>
            <w:pPr>
              <w:spacing w:after="0"/>
            </w:pPr>
            <w:r/>
            <w:r>
              <w:rPr>
                <w:sz w:val="18"/>
              </w:rPr>
              <w:t>100% SSD/NVMe, sin discos mecánicos</w:t>
            </w:r>
          </w:p>
        </w:tc>
      </w:tr>
      <w:tr>
        <w:tc>
          <w:tcPr>
            <w:tcW w:type="dxa" w:w="4320"/>
          </w:tcPr>
          <w:p>
            <w:pPr>
              <w:spacing w:after="0"/>
            </w:pPr>
            <w:r/>
            <w:r>
              <w:rPr>
                <w:sz w:val="18"/>
              </w:rPr>
              <w:t>Almacenamiento externo</w:t>
            </w:r>
          </w:p>
        </w:tc>
        <w:tc>
          <w:tcPr>
            <w:tcW w:type="dxa" w:w="4320"/>
          </w:tcPr>
          <w:p>
            <w:pPr>
              <w:spacing w:after="0"/>
            </w:pPr>
            <w:r/>
            <w:r>
              <w:rPr>
                <w:sz w:val="18"/>
              </w:rPr>
              <w:t>Cabina SAN HPE MSA2062, 123 TB combinados (SSD + SAS), conectada por Fibre Channel</w:t>
            </w:r>
          </w:p>
        </w:tc>
      </w:tr>
      <w:tr>
        <w:tc>
          <w:tcPr>
            <w:tcW w:type="dxa" w:w="4320"/>
          </w:tcPr>
          <w:p>
            <w:pPr>
              <w:spacing w:after="0"/>
            </w:pPr>
            <w:r/>
            <w:r>
              <w:rPr>
                <w:sz w:val="18"/>
              </w:rPr>
              <w:t>Conectividad</w:t>
            </w:r>
          </w:p>
        </w:tc>
        <w:tc>
          <w:tcPr>
            <w:tcW w:type="dxa" w:w="4320"/>
          </w:tcPr>
          <w:p>
            <w:pPr>
              <w:spacing w:after="0"/>
            </w:pPr>
            <w:r/>
            <w:r>
              <w:rPr>
                <w:sz w:val="18"/>
              </w:rPr>
              <w:t>Adaptadores Ethernet 10/25 Gbps, redundantes</w:t>
            </w:r>
          </w:p>
        </w:tc>
      </w:tr>
      <w:tr>
        <w:tc>
          <w:tcPr>
            <w:tcW w:type="dxa" w:w="4320"/>
          </w:tcPr>
          <w:p>
            <w:pPr>
              <w:spacing w:after="0"/>
            </w:pPr>
            <w:r/>
            <w:r>
              <w:rPr>
                <w:sz w:val="18"/>
              </w:rPr>
              <w:t>Alimentación</w:t>
            </w:r>
          </w:p>
        </w:tc>
        <w:tc>
          <w:tcPr>
            <w:tcW w:type="dxa" w:w="4320"/>
          </w:tcPr>
          <w:p>
            <w:pPr>
              <w:spacing w:after="0"/>
            </w:pPr>
            <w:r/>
            <w:r>
              <w:rPr>
                <w:sz w:val="18"/>
              </w:rPr>
              <w:t>Fuentes de poder redundantes, 1 kW por fuente</w:t>
            </w:r>
          </w:p>
        </w:tc>
      </w:tr>
      <w:tr>
        <w:tc>
          <w:tcPr>
            <w:tcW w:type="dxa" w:w="4320"/>
          </w:tcPr>
          <w:p>
            <w:pPr>
              <w:spacing w:after="0"/>
            </w:pPr>
            <w:r/>
            <w:r>
              <w:rPr>
                <w:sz w:val="18"/>
              </w:rPr>
              <w:t>Garantía de fabricante</w:t>
            </w:r>
          </w:p>
        </w:tc>
        <w:tc>
          <w:tcPr>
            <w:tcW w:type="dxa" w:w="4320"/>
          </w:tcPr>
          <w:p>
            <w:pPr>
              <w:spacing w:after="0"/>
            </w:pPr>
            <w:r/>
            <w:r>
              <w:rPr>
                <w:sz w:val="18"/>
              </w:rPr>
              <w:t>Mínimo 3 años, con reposición de partes al siguiente día hábil (NBD)</w:t>
            </w:r>
          </w:p>
        </w:tc>
      </w:tr>
    </w:tbl>
    <w:p>
      <w:pPr>
        <w:spacing w:after="80"/>
      </w:pPr>
    </w:p>
    <w:p>
      <w:pPr>
        <w:spacing w:after="120"/>
      </w:pPr>
      <w:r>
        <w:rPr>
          <w:b/>
          <w:i w:val="0"/>
          <w:color w:val="12805A"/>
          <w:sz w:val="21"/>
        </w:rPr>
        <w:t>La capacidad combinada de 123 TB de la cabina HPE MSA2062 supera en un 23% el límite superior del rango de 80 a 100 TB solicitado por la Escuela, garantizando holgura real de crecimiento sin necesidad de una segunda inversión en almacenamiento durante el horizonte de vida útil de la solución.</w:t>
      </w:r>
    </w:p>
    <w:p>
      <w:pPr>
        <w:spacing w:after="40"/>
        <w:jc w:val="center"/>
      </w:pPr>
      <w:r>
        <w:drawing>
          <wp:inline xmlns:a="http://schemas.openxmlformats.org/drawingml/2006/main" xmlns:pic="http://schemas.openxmlformats.org/drawingml/2006/picture">
            <wp:extent cx="2560320" cy="1025625"/>
            <wp:docPr id="5" name="Picture 5"/>
            <wp:cNvGraphicFramePr>
              <a:graphicFrameLocks noChangeAspect="1"/>
            </wp:cNvGraphicFramePr>
            <a:graphic>
              <a:graphicData uri="http://schemas.openxmlformats.org/drawingml/2006/picture">
                <pic:pic>
                  <pic:nvPicPr>
                    <pic:cNvPr id="0" name="image14.png"/>
                    <pic:cNvPicPr/>
                  </pic:nvPicPr>
                  <pic:blipFill>
                    <a:blip r:embed="rId13"/>
                    <a:stretch>
                      <a:fillRect/>
                    </a:stretch>
                  </pic:blipFill>
                  <pic:spPr>
                    <a:xfrm>
                      <a:off x="0" y="0"/>
                      <a:ext cx="2560320" cy="1025625"/>
                    </a:xfrm>
                    <a:prstGeom prst="rect"/>
                  </pic:spPr>
                </pic:pic>
              </a:graphicData>
            </a:graphic>
          </wp:inline>
        </w:drawing>
      </w:r>
    </w:p>
    <w:p>
      <w:pPr>
        <w:spacing w:after="160"/>
        <w:jc w:val="center"/>
      </w:pPr>
      <w:r>
        <w:rPr>
          <w:i/>
          <w:color w:val="42506B"/>
          <w:sz w:val="17"/>
        </w:rPr>
        <w:t>Appliance de referencia de la plataforma sobre hardware x86 estándar.</w:t>
      </w:r>
    </w:p>
    <w:p>
      <w:pPr>
        <w:keepNext/>
        <w:spacing w:before="120" w:after="40"/>
      </w:pPr>
      <w:r>
        <w:rPr>
          <w:b/>
          <w:color w:val="08387F"/>
          <w:sz w:val="21"/>
        </w:rPr>
        <w:t>Alternativa de menor inversión</w:t>
      </w:r>
    </w:p>
    <w:p>
      <w:pPr>
        <w:spacing w:after="120"/>
      </w:pPr>
      <w:r>
        <w:rPr>
          <w:b w:val="0"/>
          <w:i w:val="0"/>
          <w:sz w:val="21"/>
        </w:rPr>
        <w:t>Como ruta secundaria, se documentó también la actualización de los servidores Dell existentes de la Escuela — una opción de entrega más ágil que aprovecha la inversión ya realizada por la institución, presentada con total transparencia técnica junto con la ruta principal recomendada, para que el comité evaluador decida con el panorama completo.</w:t>
      </w:r>
    </w:p>
    <w:p>
      <w:r>
        <w:br w:type="page"/>
      </w:r>
    </w:p>
    <w:p>
      <w:pPr>
        <w:pStyle w:val="Heading1"/>
        <w:keepNext/>
        <w:spacing w:before="280" w:after="120"/>
      </w:pPr>
      <w:r>
        <w:rPr>
          <w:color w:val="08387F"/>
          <w:sz w:val="32"/>
        </w:rPr>
        <w:t>6. Plan de migración y continuidad</w:t>
      </w:r>
    </w:p>
    <w:p>
      <w:pPr>
        <w:spacing w:after="120"/>
      </w:pPr>
      <w:r>
        <w:rPr>
          <w:b w:val="0"/>
          <w:i w:val="0"/>
          <w:sz w:val="21"/>
        </w:rPr>
        <w:t>La migración hacia la nueva plataforma se ejecuta en cuatro fases secuenciales, diseñadas para que la plataforma actual permanezca activa en paralelo hasta el momento del corte final (cutover), con un punto de reversa disponible en cada etapa.</w:t>
      </w:r>
    </w:p>
    <w:tbl>
      <w:tblPr>
        <w:tblStyle w:val="LightGrid-Accent1"/>
        <w:tblW w:type="auto" w:w="0"/>
        <w:jc w:val="center"/>
        <w:tblLook w:firstColumn="1" w:firstRow="1" w:lastColumn="0" w:lastRow="0" w:noHBand="0" w:noVBand="1" w:val="04A0"/>
      </w:tblPr>
      <w:tblGrid>
        <w:gridCol w:w="4320"/>
        <w:gridCol w:w="4320"/>
      </w:tblGrid>
      <w:tr>
        <w:tc>
          <w:tcPr>
            <w:tcW w:type="dxa" w:w="4320"/>
            <w:shd w:fill="08387F"/>
          </w:tcPr>
          <w:p>
            <w:pPr>
              <w:spacing w:after="0"/>
            </w:pPr>
            <w:r/>
            <w:r>
              <w:rPr>
                <w:b/>
                <w:color w:val="FFFFFF"/>
                <w:sz w:val="18"/>
              </w:rPr>
              <w:t>Fase</w:t>
            </w:r>
          </w:p>
        </w:tc>
        <w:tc>
          <w:tcPr>
            <w:tcW w:type="dxa" w:w="4320"/>
            <w:shd w:fill="08387F"/>
          </w:tcPr>
          <w:p>
            <w:pPr>
              <w:spacing w:after="0"/>
            </w:pPr>
            <w:r/>
            <w:r>
              <w:rPr>
                <w:b/>
                <w:color w:val="FFFFFF"/>
                <w:sz w:val="18"/>
              </w:rPr>
              <w:t>Actividad principal</w:t>
            </w:r>
          </w:p>
        </w:tc>
      </w:tr>
      <w:tr>
        <w:tc>
          <w:tcPr>
            <w:tcW w:type="dxa" w:w="4320"/>
          </w:tcPr>
          <w:p>
            <w:pPr>
              <w:spacing w:after="0"/>
            </w:pPr>
            <w:r/>
            <w:r>
              <w:rPr>
                <w:sz w:val="18"/>
              </w:rPr>
              <w:t>1 · Preparación</w:t>
            </w:r>
          </w:p>
        </w:tc>
        <w:tc>
          <w:tcPr>
            <w:tcW w:type="dxa" w:w="4320"/>
          </w:tcPr>
          <w:p>
            <w:pPr>
              <w:spacing w:after="0"/>
            </w:pPr>
            <w:r/>
            <w:r>
              <w:rPr>
                <w:sz w:val="18"/>
              </w:rPr>
              <w:t>Diagnóstico exhaustivo del entorno, verificación de requisitos lógicos, eléctricos y de red; definición del plan de contingencia y ruta de reversión segura.</w:t>
            </w:r>
          </w:p>
        </w:tc>
      </w:tr>
      <w:tr>
        <w:tc>
          <w:tcPr>
            <w:tcW w:type="dxa" w:w="4320"/>
          </w:tcPr>
          <w:p>
            <w:pPr>
              <w:spacing w:after="0"/>
            </w:pPr>
            <w:r/>
            <w:r>
              <w:rPr>
                <w:sz w:val="18"/>
              </w:rPr>
              <w:t>2 · Despliegue de base</w:t>
            </w:r>
          </w:p>
        </w:tc>
        <w:tc>
          <w:tcPr>
            <w:tcW w:type="dxa" w:w="4320"/>
          </w:tcPr>
          <w:p>
            <w:pPr>
              <w:spacing w:after="0"/>
            </w:pPr>
            <w:r/>
            <w:r>
              <w:rPr>
                <w:sz w:val="18"/>
              </w:rPr>
              <w:t>Instalación física del equipamiento, configuración de red e instalación nativa de la plataforma Sangfor, en paralelo a la plataforma VMware activa.</w:t>
            </w:r>
          </w:p>
        </w:tc>
      </w:tr>
      <w:tr>
        <w:tc>
          <w:tcPr>
            <w:tcW w:type="dxa" w:w="4320"/>
          </w:tcPr>
          <w:p>
            <w:pPr>
              <w:spacing w:after="0"/>
            </w:pPr>
            <w:r/>
            <w:r>
              <w:rPr>
                <w:sz w:val="18"/>
              </w:rPr>
              <w:t>3 · Movimiento de datos</w:t>
            </w:r>
          </w:p>
        </w:tc>
        <w:tc>
          <w:tcPr>
            <w:tcW w:type="dxa" w:w="4320"/>
          </w:tcPr>
          <w:p>
            <w:pPr>
              <w:spacing w:after="0"/>
            </w:pPr>
            <w:r/>
            <w:r>
              <w:rPr>
                <w:sz w:val="18"/>
              </w:rPr>
              <w:t>Migración escalonada por criticidad — cargas no críticas primero, luego identidad y servicios administrativos, y finalmente el núcleo académico — bajo ventanas de mantenimiento acordadas con OSIRIS.</w:t>
            </w:r>
          </w:p>
        </w:tc>
      </w:tr>
      <w:tr>
        <w:tc>
          <w:tcPr>
            <w:tcW w:type="dxa" w:w="4320"/>
          </w:tcPr>
          <w:p>
            <w:pPr>
              <w:spacing w:after="0"/>
            </w:pPr>
            <w:r/>
            <w:r>
              <w:rPr>
                <w:sz w:val="18"/>
              </w:rPr>
              <w:t>4 · Evaluación de buenas prácticas</w:t>
            </w:r>
          </w:p>
        </w:tc>
        <w:tc>
          <w:tcPr>
            <w:tcW w:type="dxa" w:w="4320"/>
          </w:tcPr>
          <w:p>
            <w:pPr>
              <w:spacing w:after="0"/>
            </w:pPr>
            <w:r/>
            <w:r>
              <w:rPr>
                <w:sz w:val="18"/>
              </w:rPr>
              <w:t>Auditoría técnica dentro de los primeros 3 meses de operación, con informe formal de recomendaciones de optimización continua.</w:t>
            </w:r>
          </w:p>
        </w:tc>
      </w:tr>
    </w:tbl>
    <w:p>
      <w:pPr>
        <w:spacing w:after="80"/>
      </w:pPr>
    </w:p>
    <w:p>
      <w:pPr>
        <w:spacing w:after="120"/>
      </w:pPr>
      <w:r>
        <w:rPr>
          <w:b w:val="0"/>
          <w:i w:val="0"/>
          <w:sz w:val="21"/>
        </w:rPr>
        <w:t>El inicio de la implementación está previsto para el último trimestre de 2026, aprovechando el receso académico de diciembre para las ventanas de mantenimiento de mayor impacto, con el 100% de las cargas migradas y en producción antes del inicio del primer periodo académico de 2027.</w:t>
      </w:r>
    </w:p>
    <w:p>
      <w:r>
        <w:br w:type="page"/>
      </w:r>
    </w:p>
    <w:p>
      <w:pPr>
        <w:pStyle w:val="Heading1"/>
        <w:keepNext/>
        <w:spacing w:before="280" w:after="120"/>
      </w:pPr>
      <w:r>
        <w:rPr>
          <w:color w:val="08387F"/>
          <w:sz w:val="32"/>
        </w:rPr>
        <w:t>7. Alta disponibilidad, recuperación ante desastres y seguridad</w:t>
      </w:r>
    </w:p>
    <w:p>
      <w:pPr>
        <w:pStyle w:val="Heading2"/>
        <w:keepNext/>
        <w:spacing w:before="160" w:after="60"/>
      </w:pPr>
      <w:r>
        <w:rPr>
          <w:color w:val="0B5ED7"/>
          <w:sz w:val="25"/>
        </w:rPr>
        <w:t>Continuidad operativa</w:t>
      </w:r>
    </w:p>
    <w:p>
      <w:pPr>
        <w:pStyle w:val="ListBullet"/>
        <w:spacing w:after="60"/>
      </w:pPr>
      <w:r>
        <w:rPr>
          <w:sz w:val="20"/>
        </w:rPr>
        <w:t>Disponibilidad garantizada del 99,9% para la arquitectura lógica central.</w:t>
      </w:r>
    </w:p>
    <w:p>
      <w:pPr>
        <w:pStyle w:val="ListBullet"/>
        <w:spacing w:after="60"/>
      </w:pPr>
      <w:r>
        <w:rPr>
          <w:sz w:val="20"/>
        </w:rPr>
        <w:t>Tolerancia a la pérdida simultánea de hasta 2 nodos, sin detener el servicio académico ni administrativo.</w:t>
      </w:r>
    </w:p>
    <w:p>
      <w:pPr>
        <w:pStyle w:val="ListBullet"/>
        <w:spacing w:after="60"/>
      </w:pPr>
      <w:r>
        <w:rPr>
          <w:sz w:val="20"/>
        </w:rPr>
        <w:t>Migración en vivo de cargas de trabajo, sin interrupciones visibles para el usuario final.</w:t>
      </w:r>
    </w:p>
    <w:p>
      <w:pPr>
        <w:pStyle w:val="ListBullet"/>
        <w:spacing w:after="60"/>
      </w:pPr>
      <w:r>
        <w:rPr>
          <w:sz w:val="20"/>
        </w:rPr>
        <w:t>Recuperación ante desastres con RPO≈0 (hasta 1 segundo con CDP nativo) y RTO de segundos a 30 minutos — muy por debajo del umbral de 4 horas exigido por el propio BIA tecnológico de la Escuela para su infraestructura Tier-1.</w:t>
      </w:r>
    </w:p>
    <w:p>
      <w:pPr>
        <w:pStyle w:val="Heading2"/>
        <w:keepNext/>
        <w:spacing w:before="160" w:after="60"/>
      </w:pPr>
      <w:r>
        <w:rPr>
          <w:color w:val="0B5ED7"/>
          <w:sz w:val="25"/>
        </w:rPr>
        <w:t>Seguridad de la plataforma</w:t>
      </w:r>
    </w:p>
    <w:p>
      <w:pPr>
        <w:pStyle w:val="ListBullet"/>
        <w:spacing w:after="60"/>
      </w:pPr>
      <w:r>
        <w:rPr>
          <w:sz w:val="20"/>
        </w:rPr>
        <w:t>Autenticación integrada con Active Directory/LDAP y control de acceso basado en roles (RBAC).</w:t>
      </w:r>
    </w:p>
    <w:p>
      <w:pPr>
        <w:pStyle w:val="ListBullet"/>
        <w:spacing w:after="60"/>
      </w:pPr>
      <w:r>
        <w:rPr>
          <w:sz w:val="20"/>
        </w:rPr>
        <w:t>Comunicaciones cifradas mediante TLS 1.2 o superior, con cifrado AES-256 de datos en reposo.</w:t>
      </w:r>
    </w:p>
    <w:p>
      <w:pPr>
        <w:pStyle w:val="ListBullet"/>
        <w:spacing w:after="60"/>
      </w:pPr>
      <w:r>
        <w:rPr>
          <w:sz w:val="20"/>
        </w:rPr>
        <w:t>Aislamiento de red que bloquea la propagación lateral de código malicioso entre segmentos.</w:t>
      </w:r>
    </w:p>
    <w:p>
      <w:pPr>
        <w:pStyle w:val="ListBullet"/>
        <w:spacing w:after="60"/>
      </w:pPr>
      <w:r>
        <w:rPr>
          <w:sz w:val="20"/>
        </w:rPr>
        <w:t>Snapshots inmutables como protección adicional frente a alteraciones no autorizadas o incidentes de ransomware.</w:t>
      </w:r>
    </w:p>
    <w:p>
      <w:pPr>
        <w:pStyle w:val="ListBullet"/>
        <w:spacing w:after="60"/>
      </w:pPr>
      <w:r>
        <w:rPr>
          <w:sz w:val="20"/>
        </w:rPr>
        <w:t>Compatibilidad nativa confirmada con Acronis, sin obligación de reemplazar la herramienta de respaldo ya operada por la Escuela.</w:t>
      </w:r>
    </w:p>
    <w:p>
      <w:r>
        <w:br w:type="page"/>
      </w:r>
    </w:p>
    <w:p>
      <w:pPr>
        <w:pStyle w:val="Heading1"/>
        <w:keepNext/>
        <w:spacing w:before="280" w:after="120"/>
      </w:pPr>
      <w:r>
        <w:rPr>
          <w:color w:val="08387F"/>
          <w:sz w:val="32"/>
        </w:rPr>
        <w:t>8. Acuerdos de Nivel de Servicio</w:t>
      </w:r>
    </w:p>
    <w:p>
      <w:pPr>
        <w:spacing w:after="120"/>
      </w:pPr>
      <w:r>
        <w:rPr>
          <w:b w:val="0"/>
          <w:i w:val="0"/>
          <w:sz w:val="21"/>
        </w:rPr>
        <w:t>La Unión Temporal presenta un único esquema de soporte, sin fragmentar la responsabilidad entre el proveedor de hardware y el de plataforma lógica, conforme a lo exigido por la Escuela para figuras asociativas.</w:t>
      </w:r>
    </w:p>
    <w:tbl>
      <w:tblPr>
        <w:tblStyle w:val="LightGrid-Accent1"/>
        <w:tblW w:type="auto" w:w="0"/>
        <w:jc w:val="center"/>
        <w:tblLook w:firstColumn="1" w:firstRow="1" w:lastColumn="0" w:lastRow="0" w:noHBand="0" w:noVBand="1" w:val="04A0"/>
      </w:tblPr>
      <w:tblGrid>
        <w:gridCol w:w="4320"/>
        <w:gridCol w:w="4320"/>
      </w:tblGrid>
      <w:tr>
        <w:tc>
          <w:tcPr>
            <w:tcW w:type="dxa" w:w="4320"/>
            <w:shd w:fill="08387F"/>
          </w:tcPr>
          <w:p>
            <w:pPr>
              <w:spacing w:after="0"/>
            </w:pPr>
            <w:r/>
            <w:r>
              <w:rPr>
                <w:b/>
                <w:color w:val="FFFFFF"/>
                <w:sz w:val="18"/>
              </w:rPr>
              <w:t>Componente</w:t>
            </w:r>
          </w:p>
        </w:tc>
        <w:tc>
          <w:tcPr>
            <w:tcW w:type="dxa" w:w="4320"/>
            <w:shd w:fill="08387F"/>
          </w:tcPr>
          <w:p>
            <w:pPr>
              <w:spacing w:after="0"/>
            </w:pPr>
            <w:r/>
            <w:r>
              <w:rPr>
                <w:b/>
                <w:color w:val="FFFFFF"/>
                <w:sz w:val="18"/>
              </w:rPr>
              <w:t>Garantía</w:t>
            </w:r>
          </w:p>
        </w:tc>
      </w:tr>
      <w:tr>
        <w:tc>
          <w:tcPr>
            <w:tcW w:type="dxa" w:w="4320"/>
          </w:tcPr>
          <w:p>
            <w:pPr>
              <w:spacing w:after="0"/>
            </w:pPr>
            <w:r/>
            <w:r>
              <w:rPr>
                <w:sz w:val="18"/>
              </w:rPr>
              <w:t>Disponibilidad — plataforma lógica</w:t>
            </w:r>
          </w:p>
        </w:tc>
        <w:tc>
          <w:tcPr>
            <w:tcW w:type="dxa" w:w="4320"/>
          </w:tcPr>
          <w:p>
            <w:pPr>
              <w:spacing w:after="0"/>
            </w:pPr>
            <w:r/>
            <w:r>
              <w:rPr>
                <w:sz w:val="18"/>
              </w:rPr>
              <w:t>99,9%, con respaldo contractual</w:t>
            </w:r>
          </w:p>
        </w:tc>
      </w:tr>
      <w:tr>
        <w:tc>
          <w:tcPr>
            <w:tcW w:type="dxa" w:w="4320"/>
          </w:tcPr>
          <w:p>
            <w:pPr>
              <w:spacing w:after="0"/>
            </w:pPr>
            <w:r/>
            <w:r>
              <w:rPr>
                <w:sz w:val="18"/>
              </w:rPr>
              <w:t>Garantía de equipamiento físico</w:t>
            </w:r>
          </w:p>
        </w:tc>
        <w:tc>
          <w:tcPr>
            <w:tcW w:type="dxa" w:w="4320"/>
          </w:tcPr>
          <w:p>
            <w:pPr>
              <w:spacing w:after="0"/>
            </w:pPr>
            <w:r/>
            <w:r>
              <w:rPr>
                <w:sz w:val="18"/>
              </w:rPr>
              <w:t>Mínimo 3 años, respaldada directamente por HPE</w:t>
            </w:r>
          </w:p>
        </w:tc>
      </w:tr>
      <w:tr>
        <w:tc>
          <w:tcPr>
            <w:tcW w:type="dxa" w:w="4320"/>
          </w:tcPr>
          <w:p>
            <w:pPr>
              <w:spacing w:after="0"/>
            </w:pPr>
            <w:r/>
            <w:r>
              <w:rPr>
                <w:sz w:val="18"/>
              </w:rPr>
              <w:t>Reposición de partes físicas</w:t>
            </w:r>
          </w:p>
        </w:tc>
        <w:tc>
          <w:tcPr>
            <w:tcW w:type="dxa" w:w="4320"/>
          </w:tcPr>
          <w:p>
            <w:pPr>
              <w:spacing w:after="0"/>
            </w:pPr>
            <w:r/>
            <w:r>
              <w:rPr>
                <w:sz w:val="18"/>
              </w:rPr>
              <w:t>Reemplazo de componentes al siguiente día hábil (NBD)</w:t>
            </w:r>
          </w:p>
        </w:tc>
      </w:tr>
      <w:tr>
        <w:tc>
          <w:tcPr>
            <w:tcW w:type="dxa" w:w="4320"/>
          </w:tcPr>
          <w:p>
            <w:pPr>
              <w:spacing w:after="0"/>
            </w:pPr>
            <w:r/>
            <w:r>
              <w:rPr>
                <w:sz w:val="18"/>
              </w:rPr>
              <w:t>Atención a incidentes — plataforma lógica</w:t>
            </w:r>
          </w:p>
        </w:tc>
        <w:tc>
          <w:tcPr>
            <w:tcW w:type="dxa" w:w="4320"/>
          </w:tcPr>
          <w:p>
            <w:pPr>
              <w:spacing w:after="0"/>
            </w:pPr>
            <w:r/>
            <w:r>
              <w:rPr>
                <w:sz w:val="18"/>
              </w:rPr>
              <w:t>24/7, con escalamiento directo a ingeniería de Sangfor</w:t>
            </w:r>
          </w:p>
        </w:tc>
      </w:tr>
      <w:tr>
        <w:tc>
          <w:tcPr>
            <w:tcW w:type="dxa" w:w="4320"/>
          </w:tcPr>
          <w:p>
            <w:pPr>
              <w:spacing w:after="0"/>
            </w:pPr>
            <w:r/>
            <w:r>
              <w:rPr>
                <w:sz w:val="18"/>
              </w:rPr>
              <w:t>Atención a incidentes — hardware</w:t>
            </w:r>
          </w:p>
        </w:tc>
        <w:tc>
          <w:tcPr>
            <w:tcW w:type="dxa" w:w="4320"/>
          </w:tcPr>
          <w:p>
            <w:pPr>
              <w:spacing w:after="0"/>
            </w:pPr>
            <w:r/>
            <w:r>
              <w:rPr>
                <w:sz w:val="18"/>
              </w:rPr>
              <w:t>5×8 para incidentes mecánicos en el centro de datos</w:t>
            </w:r>
          </w:p>
        </w:tc>
      </w:tr>
      <w:tr>
        <w:tc>
          <w:tcPr>
            <w:tcW w:type="dxa" w:w="4320"/>
          </w:tcPr>
          <w:p>
            <w:pPr>
              <w:spacing w:after="0"/>
            </w:pPr>
            <w:r/>
            <w:r>
              <w:rPr>
                <w:sz w:val="18"/>
              </w:rPr>
              <w:t>Transferencia de conocimiento</w:t>
            </w:r>
          </w:p>
        </w:tc>
        <w:tc>
          <w:tcPr>
            <w:tcW w:type="dxa" w:w="4320"/>
          </w:tcPr>
          <w:p>
            <w:pPr>
              <w:spacing w:after="0"/>
            </w:pPr>
            <w:r/>
            <w:r>
              <w:rPr>
                <w:sz w:val="18"/>
              </w:rPr>
              <w:t>Manuales, arquitectura detallada, diccionarios lógicos y capacitación formal al equipo de OSIRIS</w:t>
            </w:r>
          </w:p>
        </w:tc>
      </w:tr>
    </w:tbl>
    <w:p>
      <w:pPr>
        <w:spacing w:after="80"/>
      </w:pPr>
    </w:p>
    <w:p>
      <w:pPr>
        <w:keepNext/>
        <w:spacing w:before="120" w:after="40"/>
      </w:pPr>
      <w:r>
        <w:rPr>
          <w:b/>
          <w:color w:val="08387F"/>
          <w:sz w:val="21"/>
        </w:rPr>
        <w:t>Clasificación de incidentes por prioridad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8387F"/>
          </w:tcPr>
          <w:p>
            <w:pPr>
              <w:spacing w:after="0"/>
            </w:pPr>
            <w:r/>
            <w:r>
              <w:rPr>
                <w:b/>
                <w:color w:val="FFFFFF"/>
                <w:sz w:val="18"/>
              </w:rPr>
              <w:t>Prioridad</w:t>
            </w:r>
          </w:p>
        </w:tc>
        <w:tc>
          <w:tcPr>
            <w:tcW w:type="dxa" w:w="2880"/>
            <w:shd w:fill="08387F"/>
          </w:tcPr>
          <w:p>
            <w:pPr>
              <w:spacing w:after="0"/>
            </w:pPr>
            <w:r/>
            <w:r>
              <w:rPr>
                <w:b/>
                <w:color w:val="FFFFFF"/>
                <w:sz w:val="18"/>
              </w:rPr>
              <w:t>Descripción</w:t>
            </w:r>
          </w:p>
        </w:tc>
        <w:tc>
          <w:tcPr>
            <w:tcW w:type="dxa" w:w="2880"/>
            <w:shd w:fill="08387F"/>
          </w:tcPr>
          <w:p>
            <w:pPr>
              <w:spacing w:after="0"/>
            </w:pPr>
            <w:r/>
            <w:r>
              <w:rPr>
                <w:b/>
                <w:color w:val="FFFFFF"/>
                <w:sz w:val="18"/>
              </w:rPr>
              <w:t>Tiempo de respuesta</w:t>
            </w:r>
          </w:p>
        </w:tc>
      </w:tr>
      <w:tr>
        <w:tc>
          <w:tcPr>
            <w:tcW w:type="dxa" w:w="2880"/>
          </w:tcPr>
          <w:p>
            <w:pPr>
              <w:spacing w:after="0"/>
            </w:pPr>
            <w:r/>
            <w:r>
              <w:rPr>
                <w:sz w:val="18"/>
              </w:rPr>
              <w:t>P1 — Crítica</w:t>
            </w:r>
          </w:p>
        </w:tc>
        <w:tc>
          <w:tcPr>
            <w:tcW w:type="dxa" w:w="2880"/>
          </w:tcPr>
          <w:p>
            <w:pPr>
              <w:spacing w:after="0"/>
            </w:pPr>
            <w:r/>
            <w:r>
              <w:rPr>
                <w:sz w:val="18"/>
              </w:rPr>
              <w:t>Servicio caído o inaccesible para toda la comunidad académica</w:t>
            </w:r>
          </w:p>
        </w:tc>
        <w:tc>
          <w:tcPr>
            <w:tcW w:type="dxa" w:w="2880"/>
          </w:tcPr>
          <w:p>
            <w:pPr>
              <w:spacing w:after="0"/>
            </w:pPr>
            <w:r/>
            <w:r>
              <w:rPr>
                <w:sz w:val="18"/>
              </w:rPr>
              <w:t>Inmediato, 24/7</w:t>
            </w:r>
          </w:p>
        </w:tc>
      </w:tr>
      <w:tr>
        <w:tc>
          <w:tcPr>
            <w:tcW w:type="dxa" w:w="2880"/>
          </w:tcPr>
          <w:p>
            <w:pPr>
              <w:spacing w:after="0"/>
            </w:pPr>
            <w:r/>
            <w:r>
              <w:rPr>
                <w:sz w:val="18"/>
              </w:rPr>
              <w:t>P2 — Alta</w:t>
            </w:r>
          </w:p>
        </w:tc>
        <w:tc>
          <w:tcPr>
            <w:tcW w:type="dxa" w:w="2880"/>
          </w:tcPr>
          <w:p>
            <w:pPr>
              <w:spacing w:after="0"/>
            </w:pPr>
            <w:r/>
            <w:r>
              <w:rPr>
                <w:sz w:val="18"/>
              </w:rPr>
              <w:t>Degradación significativa de un servicio core</w:t>
            </w:r>
          </w:p>
        </w:tc>
        <w:tc>
          <w:tcPr>
            <w:tcW w:type="dxa" w:w="2880"/>
          </w:tcPr>
          <w:p>
            <w:pPr>
              <w:spacing w:after="0"/>
            </w:pPr>
            <w:r/>
            <w:r>
              <w:rPr>
                <w:sz w:val="18"/>
              </w:rPr>
              <w:t>Menor a 1 hora, 24/7</w:t>
            </w:r>
          </w:p>
        </w:tc>
      </w:tr>
      <w:tr>
        <w:tc>
          <w:tcPr>
            <w:tcW w:type="dxa" w:w="2880"/>
          </w:tcPr>
          <w:p>
            <w:pPr>
              <w:spacing w:after="0"/>
            </w:pPr>
            <w:r/>
            <w:r>
              <w:rPr>
                <w:sz w:val="18"/>
              </w:rPr>
              <w:t>P3 — Media</w:t>
            </w:r>
          </w:p>
        </w:tc>
        <w:tc>
          <w:tcPr>
            <w:tcW w:type="dxa" w:w="2880"/>
          </w:tcPr>
          <w:p>
            <w:pPr>
              <w:spacing w:after="0"/>
            </w:pPr>
            <w:r/>
            <w:r>
              <w:rPr>
                <w:sz w:val="18"/>
              </w:rPr>
              <w:t>Incidente puntual sin impacto generalizado</w:t>
            </w:r>
          </w:p>
        </w:tc>
        <w:tc>
          <w:tcPr>
            <w:tcW w:type="dxa" w:w="2880"/>
          </w:tcPr>
          <w:p>
            <w:pPr>
              <w:spacing w:after="0"/>
            </w:pPr>
            <w:r/>
            <w:r>
              <w:rPr>
                <w:sz w:val="18"/>
              </w:rPr>
              <w:t>Mismo día hábil</w:t>
            </w:r>
          </w:p>
        </w:tc>
      </w:tr>
      <w:tr>
        <w:tc>
          <w:tcPr>
            <w:tcW w:type="dxa" w:w="2880"/>
          </w:tcPr>
          <w:p>
            <w:pPr>
              <w:spacing w:after="0"/>
            </w:pPr>
            <w:r/>
            <w:r>
              <w:rPr>
                <w:sz w:val="18"/>
              </w:rPr>
              <w:t>P4 — Baja</w:t>
            </w:r>
          </w:p>
        </w:tc>
        <w:tc>
          <w:tcPr>
            <w:tcW w:type="dxa" w:w="2880"/>
          </w:tcPr>
          <w:p>
            <w:pPr>
              <w:spacing w:after="0"/>
            </w:pPr>
            <w:r/>
            <w:r>
              <w:rPr>
                <w:sz w:val="18"/>
              </w:rPr>
              <w:t>Solicitud de soporte o consulta operativa</w:t>
            </w:r>
          </w:p>
        </w:tc>
        <w:tc>
          <w:tcPr>
            <w:tcW w:type="dxa" w:w="2880"/>
          </w:tcPr>
          <w:p>
            <w:pPr>
              <w:spacing w:after="0"/>
            </w:pPr>
            <w:r/>
            <w:r>
              <w:rPr>
                <w:sz w:val="18"/>
              </w:rPr>
              <w:t>Siguiente día hábil</w:t>
            </w:r>
          </w:p>
        </w:tc>
      </w:tr>
    </w:tbl>
    <w:p>
      <w:pPr>
        <w:spacing w:after="80"/>
      </w:pPr>
    </w:p>
    <w:p>
      <w:r>
        <w:br w:type="page"/>
      </w:r>
    </w:p>
    <w:p>
      <w:pPr>
        <w:pStyle w:val="Heading1"/>
        <w:keepNext/>
        <w:spacing w:before="280" w:after="120"/>
      </w:pPr>
      <w:r>
        <w:rPr>
          <w:color w:val="08387F"/>
          <w:sz w:val="32"/>
        </w:rPr>
        <w:t>9. Experiencia y respaldo de la Unión Temporal</w:t>
      </w:r>
    </w:p>
    <w:p>
      <w:pPr>
        <w:spacing w:after="120"/>
      </w:pPr>
      <w:r>
        <w:rPr>
          <w:b w:val="0"/>
          <w:i w:val="0"/>
          <w:sz w:val="21"/>
        </w:rPr>
        <w:t>Blue Label Technologies aporta más de 123 proyectos ejecutados en 25 organizaciones de sectores regulados —salud, manufactura, gobierno y sector financiero— con referencias comerciales verificables. Cydesys aporta más de 50 años de trayectoria, más de 1.800 clientes y más de 1.200 soluciones de infraestructura implementadas, con alianzas de fabricante de largo plazo que garantizan continuidad de soporte y disponibilidad de repuestos.</w:t>
      </w:r>
    </w:p>
    <w:p>
      <w:pPr>
        <w:spacing w:after="120"/>
      </w:pPr>
      <w:r>
        <w:rPr>
          <w:b w:val="0"/>
          <w:i/>
          <w:color w:val="42506B"/>
          <w:sz w:val="21"/>
        </w:rPr>
        <w:t>Esta combinación de trayectorias —integración física de largo plazo y operación de ciberseguridad gestionada— es exactamente el perfil que un proyecto de modernización de infraestructura crítica institucional requiere: no solo instalar el hardware correcto, sino operarlo de forma segura y confiable durante todo su ciclo de vida.</w:t>
      </w:r>
    </w:p>
    <w:p>
      <w:pPr>
        <w:pStyle w:val="Heading1"/>
        <w:keepNext/>
        <w:spacing w:before="280" w:after="120"/>
      </w:pPr>
      <w:r>
        <w:rPr>
          <w:color w:val="08387F"/>
          <w:sz w:val="32"/>
        </w:rPr>
        <w:t>10. Modelo comercial y valores agregados</w:t>
      </w:r>
    </w:p>
    <w:p>
      <w:pPr>
        <w:pStyle w:val="ListBullet"/>
        <w:spacing w:after="60"/>
      </w:pPr>
      <w:r>
        <w:rPr>
          <w:sz w:val="20"/>
        </w:rPr>
        <w:t>Licenciamiento perpetuo u OpEx a elección de la Escuela — Sangfor no ha discontinuado la licencia perpetua, a diferencia de la tendencia actual del mercado de virtualización.</w:t>
      </w:r>
    </w:p>
    <w:p>
      <w:pPr>
        <w:pStyle w:val="ListBullet"/>
        <w:spacing w:after="60"/>
      </w:pPr>
      <w:r>
        <w:rPr>
          <w:sz w:val="20"/>
        </w:rPr>
        <w:t>SkyOps: monitoreo de la plataforma asistido por inteligencia artificial, incluido en la licencia base sin costo adicional.</w:t>
      </w:r>
    </w:p>
    <w:p>
      <w:pPr>
        <w:pStyle w:val="ListBullet"/>
        <w:spacing w:after="60"/>
      </w:pPr>
      <w:r>
        <w:rPr>
          <w:sz w:val="20"/>
        </w:rPr>
        <w:t>Backup nativo incluido (Built-in Backup), sin necesidad de licenciar una herramienta de terceros por separado.</w:t>
      </w:r>
    </w:p>
    <w:p>
      <w:pPr>
        <w:pStyle w:val="ListBullet"/>
        <w:spacing w:after="60"/>
      </w:pPr>
      <w:r>
        <w:rPr>
          <w:sz w:val="20"/>
        </w:rPr>
        <w:t>Certificaciones oficiales de la plataforma sin costo adicional para instituciones del sector educativo.</w:t>
      </w:r>
    </w:p>
    <w:p>
      <w:r>
        <w:br w:type="page"/>
      </w:r>
    </w:p>
    <w:p>
      <w:pPr>
        <w:pStyle w:val="Heading1"/>
        <w:keepNext/>
        <w:spacing w:before="280" w:after="120"/>
      </w:pPr>
      <w:r>
        <w:rPr>
          <w:color w:val="08387F"/>
          <w:sz w:val="32"/>
        </w:rPr>
        <w:t>11. Cierre y siguientes pasos</w:t>
      </w:r>
    </w:p>
    <w:p>
      <w:pPr>
        <w:spacing w:after="120"/>
      </w:pPr>
      <w:r>
        <w:rPr>
          <w:b/>
          <w:i w:val="0"/>
          <w:sz w:val="21"/>
        </w:rPr>
        <w:t>La Unión Temporal Blue Label Technologies + Cydesys presenta una propuesta que no solo cumple los requisitos técnicos del proceso — los supera, con una arquitectura moderna, respaldada por fabricantes líderes de mercado, y operada por dos compañías con trayectoria comprobada en sus respectivos frentes. La combinación de infraestructura de última generación, continuidad operativa garantizada y un único interlocutor responsable convierte esta propuesta en la opción de menor riesgo y mayor proyección a futuro para la Escuela Colombiana de Ingeniería Julio Garavito.</w:t>
      </w:r>
    </w:p>
    <w:p>
      <w:pPr>
        <w:spacing w:after="120"/>
      </w:pPr>
      <w:r>
        <w:rPr>
          <w:b w:val="0"/>
          <w:i w:val="0"/>
          <w:sz w:val="21"/>
        </w:rPr>
        <w:t>Quedamos atentos para avanzar hacia la Prueba de Concepto y la fase de implementación conjunta con la Dirección de Tecnología (OSIRIS), con la disposición plena de ambas compañías para responder cualquier requerimiento adicional del comité evaluador.</w:t>
      </w:r>
    </w:p>
    <w:p>
      <w:pPr>
        <w:spacing w:before="320"/>
      </w:pPr>
      <w:r>
        <w:rPr>
          <w:i/>
          <w:color w:val="42506B"/>
          <w:sz w:val="17"/>
        </w:rPr>
        <w:t>Unión Temporal Blue Label Technologies + Cydesys — Propuesta técnica para la Escuela Colombiana de Ingeniería Julio Garavito, septiembre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4141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