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8387F"/>
          <w:sz w:val="44"/>
        </w:rPr>
        <w:t>ANEXO 4</w:t>
      </w:r>
    </w:p>
    <w:p>
      <w:pPr>
        <w:jc w:val="center"/>
      </w:pPr>
      <w:r>
        <w:rPr>
          <w:color w:val="42506B"/>
          <w:sz w:val="28"/>
        </w:rPr>
        <w:t>Cuadro Técnico RFP Data Center</w:t>
      </w:r>
    </w:p>
    <w:p>
      <w:pPr>
        <w:jc w:val="center"/>
      </w:pPr>
      <w:r>
        <w:rPr>
          <w:color w:val="42506B"/>
          <w:sz w:val="22"/>
        </w:rPr>
        <w:t>RFP Data Center — Escuela Colombiana de Ingeniería Julio Garavito</w:t>
      </w:r>
    </w:p>
    <w:p>
      <w:pPr>
        <w:jc w:val="center"/>
      </w:pPr>
      <w:r>
        <w:rPr>
          <w:b/>
          <w:color w:val="0B5ED7"/>
          <w:sz w:val="24"/>
        </w:rPr>
        <w:t>Unión Temporal BLT–Cydesys 2026</w:t>
      </w:r>
    </w:p>
    <w:p>
      <w:r>
        <w:br w:type="page"/>
      </w:r>
    </w:p>
    <w:p>
      <w:pPr>
        <w:pStyle w:val="Heading1"/>
      </w:pPr>
      <w:r>
        <w:rPr>
          <w:color w:val="08387F"/>
          <w:sz w:val="30"/>
        </w:rPr>
        <w:t>Información general</w:t>
      </w:r>
    </w:p>
    <w:p>
      <w:pPr>
        <w:pStyle w:val="Heading2"/>
      </w:pPr>
      <w:r>
        <w:rPr>
          <w:color w:val="0B5ED7"/>
          <w:sz w:val="24"/>
        </w:rPr>
        <w:t>Proponente</w:t>
      </w:r>
    </w:p>
    <w:p>
      <w:r>
        <w:rPr>
          <w:b w:val="0"/>
          <w:i w:val="0"/>
          <w:sz w:val="20"/>
        </w:rPr>
        <w:t>Unión Temporal BLT–Cydesys 2026 (Blue Label Technologies S.A.S. + Cyberware S.A.S. / Cydesys).</w:t>
      </w:r>
    </w:p>
    <w:p>
      <w:pPr>
        <w:pStyle w:val="Heading2"/>
      </w:pPr>
      <w:r>
        <w:rPr>
          <w:color w:val="0B5ED7"/>
          <w:sz w:val="24"/>
        </w:rPr>
        <w:t>Equipo de cómputo para data center — Fabricante</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Nombre del fabricante</w:t>
            </w:r>
          </w:p>
        </w:tc>
        <w:tc>
          <w:tcPr>
            <w:tcW w:type="dxa" w:w="4320"/>
          </w:tcPr>
          <w:p>
            <w:r/>
            <w:r>
              <w:rPr>
                <w:sz w:val="18"/>
              </w:rPr>
              <w:t>Hewlett Packard Enterprise (HPE) — hardware · Sangfor Technologies — plataforma de virtualización</w:t>
            </w:r>
          </w:p>
        </w:tc>
      </w:tr>
      <w:tr>
        <w:tc>
          <w:tcPr>
            <w:tcW w:type="dxa" w:w="4320"/>
          </w:tcPr>
          <w:p>
            <w:r/>
            <w:r>
              <w:rPr>
                <w:b/>
                <w:sz w:val="18"/>
              </w:rPr>
              <w:t>Posicionamiento de marca</w:t>
            </w:r>
          </w:p>
        </w:tc>
        <w:tc>
          <w:tcPr>
            <w:tcW w:type="dxa" w:w="4320"/>
          </w:tcPr>
          <w:p>
            <w:r/>
            <w:r>
              <w:rPr>
                <w:sz w:val="18"/>
              </w:rPr>
              <w:t>HPE: fabricante global top-3 de servidores x86 empresariales. Sangfor: proveedor consolidado de HCI/virtualización con más de 100.000 clientes globales, fuerte presencia en Asia-Pacífico y adopción creciente en LatAm.</w:t>
            </w:r>
          </w:p>
        </w:tc>
      </w:tr>
      <w:tr>
        <w:tc>
          <w:tcPr>
            <w:tcW w:type="dxa" w:w="4320"/>
          </w:tcPr>
          <w:p>
            <w:r/>
            <w:r>
              <w:rPr>
                <w:b/>
                <w:sz w:val="18"/>
              </w:rPr>
              <w:t>Clasificación Gartner (o similar)</w:t>
            </w:r>
          </w:p>
        </w:tc>
        <w:tc>
          <w:tcPr>
            <w:tcW w:type="dxa" w:w="4320"/>
          </w:tcPr>
          <w:p>
            <w:r/>
            <w:r>
              <w:rPr>
                <w:sz w:val="18"/>
              </w:rPr>
              <w:t>HPE: Líder en el Cuadrante de Gartner para servidores de propósito general (Modular/Rack) en los últimos dos años. Sangfor: reconocido en el Magic Quadrant para HCI como fuerte competidor regional (Asia-Pacífico); no figura en el cuadrante de 'Líderes' global junto a VMware/Nutanix — punto que se declara con transparencia para la evaluación del comité.</w:t>
            </w:r>
          </w:p>
        </w:tc>
      </w:tr>
    </w:tbl>
    <w:p>
      <w:pPr>
        <w:pStyle w:val="Heading2"/>
      </w:pPr>
      <w:r>
        <w:rPr>
          <w:color w:val="0B5ED7"/>
          <w:sz w:val="24"/>
        </w:rPr>
        <w:t>Canal que lo representa (Partner)</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Nombre del canal</w:t>
            </w:r>
          </w:p>
        </w:tc>
        <w:tc>
          <w:tcPr>
            <w:tcW w:type="dxa" w:w="4320"/>
          </w:tcPr>
          <w:p>
            <w:r/>
            <w:r>
              <w:rPr>
                <w:sz w:val="18"/>
              </w:rPr>
              <w:t>Cyberware S.A.S. (Cydesys) — hardware HPE · EVOCOM — distribución de licenciamiento Sangfor, con Cydesys como reseller autorizado</w:t>
            </w:r>
          </w:p>
        </w:tc>
      </w:tr>
      <w:tr>
        <w:tc>
          <w:tcPr>
            <w:tcW w:type="dxa" w:w="4320"/>
          </w:tcPr>
          <w:p>
            <w:r/>
            <w:r>
              <w:rPr>
                <w:b/>
                <w:sz w:val="18"/>
              </w:rPr>
              <w:t>Tipo de canal</w:t>
            </w:r>
          </w:p>
        </w:tc>
        <w:tc>
          <w:tcPr>
            <w:tcW w:type="dxa" w:w="4320"/>
          </w:tcPr>
          <w:p>
            <w:r/>
            <w:r>
              <w:rPr>
                <w:sz w:val="18"/>
              </w:rPr>
              <w:t>Partner de valor agregado (VAR) e integrador de infraestructura física, con distribución autorizada de licenciamiento de software de virtualización</w:t>
            </w:r>
          </w:p>
        </w:tc>
      </w:tr>
      <w:tr>
        <w:tc>
          <w:tcPr>
            <w:tcW w:type="dxa" w:w="4320"/>
          </w:tcPr>
          <w:p>
            <w:r/>
            <w:r>
              <w:rPr>
                <w:b/>
                <w:sz w:val="18"/>
              </w:rPr>
              <w:t>Antigüedad representando al fabricante</w:t>
            </w:r>
          </w:p>
        </w:tc>
        <w:tc>
          <w:tcPr>
            <w:tcW w:type="dxa" w:w="4320"/>
          </w:tcPr>
          <w:p>
            <w:r/>
            <w:r>
              <w:rPr>
                <w:sz w:val="18"/>
              </w:rPr>
              <w:t>Cydesys: alianza de fabricante de largo plazo con HPE (relación comercial activa, ver perfil de empresa — más de 50 años de trayectoria en integración de infraestructura)</w:t>
            </w:r>
          </w:p>
        </w:tc>
      </w:tr>
      <w:tr>
        <w:tc>
          <w:tcPr>
            <w:tcW w:type="dxa" w:w="4320"/>
          </w:tcPr>
          <w:p>
            <w:r/>
            <w:r>
              <w:rPr>
                <w:b/>
                <w:sz w:val="18"/>
              </w:rPr>
              <w:t>Carta del fabricante que avale al canal</w:t>
            </w:r>
          </w:p>
        </w:tc>
        <w:tc>
          <w:tcPr>
            <w:tcW w:type="dxa" w:w="4320"/>
          </w:tcPr>
          <w:p>
            <w:r/>
            <w:r>
              <w:rPr>
                <w:sz w:val="18"/>
              </w:rPr>
              <w:t>PENDIENTE — se anexará la carta de aval de HPE y de Sangfor antes de la radicación final del 16 de septiembre (ver checklist de cierre)</w:t>
            </w:r>
          </w:p>
        </w:tc>
      </w:tr>
      <w:tr>
        <w:tc>
          <w:tcPr>
            <w:tcW w:type="dxa" w:w="4320"/>
          </w:tcPr>
          <w:p>
            <w:r/>
            <w:r>
              <w:rPr>
                <w:b/>
                <w:sz w:val="18"/>
              </w:rPr>
              <w:t>Modalidad y equipo humano para soporte</w:t>
            </w:r>
          </w:p>
        </w:tc>
        <w:tc>
          <w:tcPr>
            <w:tcW w:type="dxa" w:w="4320"/>
          </w:tcPr>
          <w:p>
            <w:r/>
            <w:r>
              <w:rPr>
                <w:sz w:val="18"/>
              </w:rPr>
              <w:t>Soporte especializado 24/7 por parte de Blue Label Technologies (SOC propio) para la capa lógica, y soporte 5×8 de Cydesys para incidentes de hardware, con escalamiento directo a ingeniería de HPE y Sangfor</w:t>
            </w:r>
          </w:p>
        </w:tc>
      </w:tr>
      <w:tr>
        <w:tc>
          <w:tcPr>
            <w:tcW w:type="dxa" w:w="4320"/>
          </w:tcPr>
          <w:p>
            <w:r/>
            <w:r>
              <w:rPr>
                <w:b/>
                <w:sz w:val="18"/>
              </w:rPr>
              <w:t>Matriz de escalabilidad</w:t>
            </w:r>
          </w:p>
        </w:tc>
        <w:tc>
          <w:tcPr>
            <w:tcW w:type="dxa" w:w="4320"/>
          </w:tcPr>
          <w:p>
            <w:r/>
            <w:r>
              <w:rPr>
                <w:sz w:val="18"/>
              </w:rPr>
              <w:t>4 niveles de prioridad (P1 crítica a P4 baja) con tiempos de respuesta y escalamiento a fabricante diferenciados por prioridad — ver Solución técnica, sección ANS</w:t>
            </w:r>
          </w:p>
        </w:tc>
      </w:tr>
      <w:tr>
        <w:tc>
          <w:tcPr>
            <w:tcW w:type="dxa" w:w="4320"/>
          </w:tcPr>
          <w:p>
            <w:r/>
            <w:r>
              <w:rPr>
                <w:b/>
                <w:sz w:val="18"/>
              </w:rPr>
              <w:t>¿Ofrecen ANS?</w:t>
            </w:r>
          </w:p>
        </w:tc>
        <w:tc>
          <w:tcPr>
            <w:tcW w:type="dxa" w:w="4320"/>
          </w:tcPr>
          <w:p>
            <w:r/>
            <w:r>
              <w:rPr>
                <w:sz w:val="18"/>
              </w:rPr>
              <w:t>Sí</w:t>
            </w:r>
          </w:p>
        </w:tc>
      </w:tr>
      <w:tr>
        <w:tc>
          <w:tcPr>
            <w:tcW w:type="dxa" w:w="4320"/>
          </w:tcPr>
          <w:p>
            <w:r/>
            <w:r>
              <w:rPr>
                <w:b/>
                <w:sz w:val="18"/>
              </w:rPr>
              <w:t>Tipo de ANS</w:t>
            </w:r>
          </w:p>
        </w:tc>
        <w:tc>
          <w:tcPr>
            <w:tcW w:type="dxa" w:w="4320"/>
          </w:tcPr>
          <w:p>
            <w:r/>
            <w:r>
              <w:rPr>
                <w:sz w:val="18"/>
              </w:rPr>
              <w:t>Disponibilidad 99,9% de la plataforma lógica; garantía de hardware mínimo 3 años con reposición de partes al siguiente día hábil (NBD); soporte 24/7 para incidentes de plataforma y 5×8 para incidentes mecánicos</w:t>
            </w:r>
          </w:p>
        </w:tc>
      </w:tr>
      <w:tr>
        <w:tc>
          <w:tcPr>
            <w:tcW w:type="dxa" w:w="4320"/>
          </w:tcPr>
          <w:p>
            <w:r/>
            <w:r>
              <w:rPr>
                <w:b/>
                <w:sz w:val="18"/>
              </w:rPr>
              <w:t>Modelo de contacto para soporte</w:t>
            </w:r>
          </w:p>
        </w:tc>
        <w:tc>
          <w:tcPr>
            <w:tcW w:type="dxa" w:w="4320"/>
          </w:tcPr>
          <w:p>
            <w:r/>
            <w:r>
              <w:rPr>
                <w:sz w:val="18"/>
              </w:rPr>
              <w:t>Mesa de servicio unificada de la Unión Temporal — punto único de contacto para incidentes de hardware y de plataforma lógica, con escalamiento interno según el componente afectado</w:t>
            </w:r>
          </w:p>
        </w:tc>
      </w:tr>
    </w:tbl>
    <w:p>
      <w:pPr>
        <w:pStyle w:val="Heading2"/>
      </w:pPr>
      <w:r>
        <w:rPr>
          <w:color w:val="0B5ED7"/>
          <w:sz w:val="24"/>
        </w:rPr>
        <w:t>Características generales de los equipos</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Especificación de la fuente de poder (W)</w:t>
            </w:r>
          </w:p>
        </w:tc>
        <w:tc>
          <w:tcPr>
            <w:tcW w:type="dxa" w:w="4320"/>
          </w:tcPr>
          <w:p>
            <w:r/>
            <w:r>
              <w:rPr>
                <w:sz w:val="18"/>
              </w:rPr>
              <w:t>Fuentes de alimentación redundantes HPE, 1 kW por fuente (2 fuentes por nodo)</w:t>
            </w:r>
          </w:p>
        </w:tc>
      </w:tr>
      <w:tr>
        <w:tc>
          <w:tcPr>
            <w:tcW w:type="dxa" w:w="4320"/>
          </w:tcPr>
          <w:p>
            <w:r/>
            <w:r>
              <w:rPr>
                <w:b/>
                <w:sz w:val="18"/>
              </w:rPr>
              <w:t>¿A cuántos años está pensada la solución?</w:t>
            </w:r>
          </w:p>
        </w:tc>
        <w:tc>
          <w:tcPr>
            <w:tcW w:type="dxa" w:w="4320"/>
          </w:tcPr>
          <w:p>
            <w:r/>
            <w:r>
              <w:rPr>
                <w:sz w:val="18"/>
              </w:rPr>
              <w:t>5 años, con holgura de crecimiento del 25% al 40% en capacidad sin necesidad de reinversión estructural</w:t>
            </w:r>
          </w:p>
        </w:tc>
      </w:tr>
      <w:tr>
        <w:tc>
          <w:tcPr>
            <w:tcW w:type="dxa" w:w="4320"/>
          </w:tcPr>
          <w:p>
            <w:r/>
            <w:r>
              <w:rPr>
                <w:b/>
                <w:sz w:val="18"/>
              </w:rPr>
              <w:t>Fuente de alimentación 110V/220V</w:t>
            </w:r>
          </w:p>
        </w:tc>
        <w:tc>
          <w:tcPr>
            <w:tcW w:type="dxa" w:w="4320"/>
          </w:tcPr>
          <w:p>
            <w:r/>
            <w:r>
              <w:rPr>
                <w:sz w:val="18"/>
              </w:rPr>
              <w:t>Sí, compatible con ambos voltajes conforme a especificación estándar HPE ProLiant</w:t>
            </w:r>
          </w:p>
        </w:tc>
      </w:tr>
      <w:tr>
        <w:tc>
          <w:tcPr>
            <w:tcW w:type="dxa" w:w="4320"/>
          </w:tcPr>
          <w:p>
            <w:r/>
            <w:r>
              <w:rPr>
                <w:b/>
                <w:sz w:val="18"/>
              </w:rPr>
              <w:t>Redundancia en fuente de alimentación</w:t>
            </w:r>
          </w:p>
        </w:tc>
        <w:tc>
          <w:tcPr>
            <w:tcW w:type="dxa" w:w="4320"/>
          </w:tcPr>
          <w:p>
            <w:r/>
            <w:r>
              <w:rPr>
                <w:sz w:val="18"/>
              </w:rPr>
              <w:t>Sí — 2 fuentes de poder redundantes por nodo, con tolerancia a falla de una fuente sin interrupción del servicio</w:t>
            </w:r>
          </w:p>
        </w:tc>
      </w:tr>
      <w:tr>
        <w:tc>
          <w:tcPr>
            <w:tcW w:type="dxa" w:w="4320"/>
          </w:tcPr>
          <w:p>
            <w:r/>
            <w:r>
              <w:rPr>
                <w:b/>
                <w:sz w:val="18"/>
              </w:rPr>
              <w:t>Gestión de logs</w:t>
            </w:r>
          </w:p>
        </w:tc>
        <w:tc>
          <w:tcPr>
            <w:tcW w:type="dxa" w:w="4320"/>
          </w:tcPr>
          <w:p>
            <w:r/>
            <w:r>
              <w:rPr>
                <w:sz w:val="18"/>
              </w:rPr>
              <w:t>Sí — iLO (HPE) para hardware; SCP/SkyOps y Syslog para la plataforma de virtualización</w:t>
            </w:r>
          </w:p>
        </w:tc>
      </w:tr>
      <w:tr>
        <w:tc>
          <w:tcPr>
            <w:tcW w:type="dxa" w:w="4320"/>
          </w:tcPr>
          <w:p>
            <w:r/>
            <w:r>
              <w:rPr>
                <w:b/>
                <w:sz w:val="18"/>
              </w:rPr>
              <w:t>Memoria</w:t>
            </w:r>
          </w:p>
        </w:tc>
        <w:tc>
          <w:tcPr>
            <w:tcW w:type="dxa" w:w="4320"/>
          </w:tcPr>
          <w:p>
            <w:r/>
            <w:r>
              <w:rPr>
                <w:sz w:val="18"/>
              </w:rPr>
              <w:t>DDR5 5600, 64GB/32GB Dual Rank ×8 por nodo (HPE ProLiant DL380 Gen11)</w:t>
            </w:r>
          </w:p>
        </w:tc>
      </w:tr>
      <w:tr>
        <w:tc>
          <w:tcPr>
            <w:tcW w:type="dxa" w:w="4320"/>
          </w:tcPr>
          <w:p>
            <w:r/>
            <w:r>
              <w:rPr>
                <w:b/>
                <w:sz w:val="18"/>
              </w:rPr>
              <w:t>Procesador</w:t>
            </w:r>
          </w:p>
        </w:tc>
        <w:tc>
          <w:tcPr>
            <w:tcW w:type="dxa" w:w="4320"/>
          </w:tcPr>
          <w:p>
            <w:r/>
            <w:r>
              <w:rPr>
                <w:sz w:val="18"/>
              </w:rPr>
              <w:t>Intel Xeon Silver 4516Y+ (5ª generación / Sapphire Rapids)</w:t>
            </w:r>
          </w:p>
        </w:tc>
      </w:tr>
      <w:tr>
        <w:tc>
          <w:tcPr>
            <w:tcW w:type="dxa" w:w="4320"/>
          </w:tcPr>
          <w:p>
            <w:r/>
            <w:r>
              <w:rPr>
                <w:b/>
                <w:sz w:val="18"/>
              </w:rPr>
              <w:t>Consumo de máquina</w:t>
            </w:r>
          </w:p>
        </w:tc>
        <w:tc>
          <w:tcPr>
            <w:tcW w:type="dxa" w:w="4320"/>
          </w:tcPr>
          <w:p>
            <w:r/>
            <w:r>
              <w:rPr>
                <w:sz w:val="18"/>
              </w:rPr>
              <w:t>Dentro de los parámetros estándar de HPE ProLiant DL380 Gen11 para esta configuración — ficha técnica de fabricante disponible como anexo</w:t>
            </w:r>
          </w:p>
        </w:tc>
      </w:tr>
      <w:tr>
        <w:tc>
          <w:tcPr>
            <w:tcW w:type="dxa" w:w="4320"/>
          </w:tcPr>
          <w:p>
            <w:r/>
            <w:r>
              <w:rPr>
                <w:b/>
                <w:sz w:val="18"/>
              </w:rPr>
              <w:t>Usuarios / instalación</w:t>
            </w:r>
          </w:p>
        </w:tc>
        <w:tc>
          <w:tcPr>
            <w:tcW w:type="dxa" w:w="4320"/>
          </w:tcPr>
          <w:p>
            <w:r/>
            <w:r>
              <w:rPr>
                <w:sz w:val="18"/>
              </w:rPr>
              <w:t>Instalación on-premise en el datacenter institucional de la ECI, operado por el equipo de la Dirección de Tecnología (OSIRIS) con soporte de la Unión Temporal</w:t>
            </w:r>
          </w:p>
        </w:tc>
      </w:tr>
      <w:tr>
        <w:tc>
          <w:tcPr>
            <w:tcW w:type="dxa" w:w="4320"/>
          </w:tcPr>
          <w:p>
            <w:r/>
            <w:r>
              <w:rPr>
                <w:b/>
                <w:sz w:val="18"/>
              </w:rPr>
              <w:t>Modalidad (on-premise, nube, híbrida)</w:t>
            </w:r>
          </w:p>
        </w:tc>
        <w:tc>
          <w:tcPr>
            <w:tcW w:type="dxa" w:w="4320"/>
          </w:tcPr>
          <w:p>
            <w:r/>
            <w:r>
              <w:rPr>
                <w:sz w:val="18"/>
              </w:rPr>
              <w:t>On-premise</w:t>
            </w:r>
          </w:p>
        </w:tc>
      </w:tr>
    </w:tbl>
    <w:p>
      <w:r>
        <w:br w:type="page"/>
      </w:r>
    </w:p>
    <w:p>
      <w:pPr>
        <w:pStyle w:val="Heading1"/>
      </w:pPr>
      <w:r>
        <w:rPr>
          <w:color w:val="08387F"/>
          <w:sz w:val="30"/>
        </w:rPr>
        <w:t>Requerimientos hardware data center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08387F"/>
          </w:tcPr>
          <w:p>
            <w:r/>
            <w:r>
              <w:rPr>
                <w:b/>
                <w:color w:val="FFFFFF"/>
                <w:sz w:val="17"/>
              </w:rPr>
              <w:t>Atributo</w:t>
            </w:r>
          </w:p>
        </w:tc>
        <w:tc>
          <w:tcPr>
            <w:tcW w:type="dxa" w:w="2160"/>
            <w:shd w:fill="08387F"/>
          </w:tcPr>
          <w:p>
            <w:r/>
            <w:r>
              <w:rPr>
                <w:b/>
                <w:color w:val="FFFFFF"/>
                <w:sz w:val="17"/>
              </w:rPr>
              <w:t>Descripción del requerimiento</w:t>
            </w:r>
          </w:p>
        </w:tc>
        <w:tc>
          <w:tcPr>
            <w:tcW w:type="dxa" w:w="2160"/>
            <w:shd w:fill="08387F"/>
          </w:tcPr>
          <w:p>
            <w:r/>
            <w:r>
              <w:rPr>
                <w:b/>
                <w:color w:val="FFFFFF"/>
                <w:sz w:val="17"/>
              </w:rPr>
              <w:t>Cumple</w:t>
            </w:r>
          </w:p>
        </w:tc>
        <w:tc>
          <w:tcPr>
            <w:tcW w:type="dxa" w:w="2160"/>
            <w:shd w:fill="08387F"/>
          </w:tcPr>
          <w:p>
            <w:r/>
            <w:r>
              <w:rPr>
                <w:b/>
                <w:color w:val="FFFFFF"/>
                <w:sz w:val="17"/>
              </w:rPr>
              <w:t>Cómo cumple / observación</w:t>
            </w:r>
          </w:p>
        </w:tc>
      </w:tr>
      <w:tr>
        <w:tc>
          <w:tcPr>
            <w:tcW w:type="dxa" w:w="2160"/>
          </w:tcPr>
          <w:p>
            <w:r/>
            <w:r>
              <w:rPr>
                <w:b/>
                <w:sz w:val="17"/>
              </w:rPr>
              <w:t>Reconocimiento</w:t>
            </w:r>
          </w:p>
        </w:tc>
        <w:tc>
          <w:tcPr>
            <w:tcW w:type="dxa" w:w="2160"/>
          </w:tcPr>
          <w:p>
            <w:r/>
            <w:r>
              <w:rPr>
                <w:sz w:val="17"/>
              </w:rPr>
              <w:t>El fabricante debe estar en el cuadrante de líderes de Gartner (o similar) en los últimos 2 años.</w:t>
            </w:r>
          </w:p>
        </w:tc>
        <w:tc>
          <w:tcPr>
            <w:tcW w:type="dxa" w:w="2160"/>
          </w:tcPr>
          <w:p>
            <w:r/>
            <w:r>
              <w:rPr>
                <w:b/>
                <w:color w:val="12805A"/>
                <w:sz w:val="17"/>
              </w:rPr>
              <w:t>Sí</w:t>
            </w:r>
          </w:p>
        </w:tc>
        <w:tc>
          <w:tcPr>
            <w:tcW w:type="dxa" w:w="2160"/>
          </w:tcPr>
          <w:p>
            <w:r/>
            <w:r>
              <w:rPr>
                <w:sz w:val="17"/>
              </w:rPr>
              <w:t>HPE es líder consolidado del Cuadrante de Gartner para servidores de propósito general.</w:t>
            </w:r>
          </w:p>
        </w:tc>
      </w:tr>
      <w:tr>
        <w:tc>
          <w:tcPr>
            <w:tcW w:type="dxa" w:w="2160"/>
          </w:tcPr>
          <w:p>
            <w:r/>
            <w:r>
              <w:rPr>
                <w:b/>
                <w:sz w:val="17"/>
              </w:rPr>
              <w:t>Servidores de última generación</w:t>
            </w:r>
          </w:p>
        </w:tc>
        <w:tc>
          <w:tcPr>
            <w:tcW w:type="dxa" w:w="2160"/>
          </w:tcPr>
          <w:p>
            <w:r/>
            <w:r>
              <w:rPr>
                <w:sz w:val="17"/>
              </w:rPr>
              <w:t>Hardware de servidores de marcas reconocidas y de última generación.</w:t>
            </w:r>
          </w:p>
        </w:tc>
        <w:tc>
          <w:tcPr>
            <w:tcW w:type="dxa" w:w="2160"/>
          </w:tcPr>
          <w:p>
            <w:r/>
            <w:r>
              <w:rPr>
                <w:b/>
                <w:color w:val="12805A"/>
                <w:sz w:val="17"/>
              </w:rPr>
              <w:t>Sí</w:t>
            </w:r>
          </w:p>
        </w:tc>
        <w:tc>
          <w:tcPr>
            <w:tcW w:type="dxa" w:w="2160"/>
          </w:tcPr>
          <w:p>
            <w:r/>
            <w:r>
              <w:rPr>
                <w:sz w:val="17"/>
              </w:rPr>
              <w:t>HPE ProLiant DL380 Gen11, lanzamiento reciente, sin anuncio de fin de vida.</w:t>
            </w:r>
          </w:p>
        </w:tc>
      </w:tr>
      <w:tr>
        <w:tc>
          <w:tcPr>
            <w:tcW w:type="dxa" w:w="2160"/>
          </w:tcPr>
          <w:p>
            <w:r/>
            <w:r>
              <w:rPr>
                <w:b/>
                <w:sz w:val="17"/>
              </w:rPr>
              <w:t>Procesadores de última generación</w:t>
            </w:r>
          </w:p>
        </w:tc>
        <w:tc>
          <w:tcPr>
            <w:tcW w:type="dxa" w:w="2160"/>
          </w:tcPr>
          <w:p>
            <w:r/>
            <w:r>
              <w:rPr>
                <w:sz w:val="17"/>
              </w:rPr>
              <w:t>Intel Xeon Scalable Gen 5 o superior, o AMD EPYC Gen 4 o superior.</w:t>
            </w:r>
          </w:p>
        </w:tc>
        <w:tc>
          <w:tcPr>
            <w:tcW w:type="dxa" w:w="2160"/>
          </w:tcPr>
          <w:p>
            <w:r/>
            <w:r>
              <w:rPr>
                <w:b/>
                <w:color w:val="12805A"/>
                <w:sz w:val="17"/>
              </w:rPr>
              <w:t>Sí</w:t>
            </w:r>
          </w:p>
        </w:tc>
        <w:tc>
          <w:tcPr>
            <w:tcW w:type="dxa" w:w="2160"/>
          </w:tcPr>
          <w:p>
            <w:r/>
            <w:r>
              <w:rPr>
                <w:sz w:val="17"/>
              </w:rPr>
              <w:t>Intel Xeon Silver 4516Y+ (Gen 5 / Sapphire Rapids) — cumple sin ambigüedad.</w:t>
            </w:r>
          </w:p>
        </w:tc>
      </w:tr>
      <w:tr>
        <w:tc>
          <w:tcPr>
            <w:tcW w:type="dxa" w:w="2160"/>
          </w:tcPr>
          <w:p>
            <w:r/>
            <w:r>
              <w:rPr>
                <w:b/>
                <w:sz w:val="17"/>
              </w:rPr>
              <w:t>Memoria RAM</w:t>
            </w:r>
          </w:p>
        </w:tc>
        <w:tc>
          <w:tcPr>
            <w:tcW w:type="dxa" w:w="2160"/>
          </w:tcPr>
          <w:p>
            <w:r/>
            <w:r>
              <w:rPr>
                <w:sz w:val="17"/>
              </w:rPr>
              <w:t>DDR5 en adelante.</w:t>
            </w:r>
          </w:p>
        </w:tc>
        <w:tc>
          <w:tcPr>
            <w:tcW w:type="dxa" w:w="2160"/>
          </w:tcPr>
          <w:p>
            <w:r/>
            <w:r>
              <w:rPr>
                <w:b/>
                <w:color w:val="12805A"/>
                <w:sz w:val="17"/>
              </w:rPr>
              <w:t>Sí</w:t>
            </w:r>
          </w:p>
        </w:tc>
        <w:tc>
          <w:tcPr>
            <w:tcW w:type="dxa" w:w="2160"/>
          </w:tcPr>
          <w:p>
            <w:r/>
            <w:r>
              <w:rPr>
                <w:sz w:val="17"/>
              </w:rPr>
              <w:t>DDR5 5600, Dual Rank, 64GB/32GB por módulo.</w:t>
            </w:r>
          </w:p>
        </w:tc>
      </w:tr>
      <w:tr>
        <w:tc>
          <w:tcPr>
            <w:tcW w:type="dxa" w:w="2160"/>
          </w:tcPr>
          <w:p>
            <w:r/>
            <w:r>
              <w:rPr>
                <w:b/>
                <w:sz w:val="17"/>
              </w:rPr>
              <w:t>Discos internos</w:t>
            </w:r>
          </w:p>
        </w:tc>
        <w:tc>
          <w:tcPr>
            <w:tcW w:type="dxa" w:w="2160"/>
          </w:tcPr>
          <w:p>
            <w:r/>
            <w:r>
              <w:rPr>
                <w:sz w:val="17"/>
              </w:rPr>
              <w:t>Estado sólido.</w:t>
            </w:r>
          </w:p>
        </w:tc>
        <w:tc>
          <w:tcPr>
            <w:tcW w:type="dxa" w:w="2160"/>
          </w:tcPr>
          <w:p>
            <w:r/>
            <w:r>
              <w:rPr>
                <w:b/>
                <w:color w:val="12805A"/>
                <w:sz w:val="17"/>
              </w:rPr>
              <w:t>Sí</w:t>
            </w:r>
          </w:p>
        </w:tc>
        <w:tc>
          <w:tcPr>
            <w:tcW w:type="dxa" w:w="2160"/>
          </w:tcPr>
          <w:p>
            <w:r/>
            <w:r>
              <w:rPr>
                <w:sz w:val="17"/>
              </w:rPr>
              <w:t>Discos HPE de uso mixto y lectura intensiva, M.2 y SFF, 100% NVMe/SSD.</w:t>
            </w:r>
          </w:p>
        </w:tc>
      </w:tr>
      <w:tr>
        <w:tc>
          <w:tcPr>
            <w:tcW w:type="dxa" w:w="2160"/>
          </w:tcPr>
          <w:p>
            <w:r/>
            <w:r>
              <w:rPr>
                <w:b/>
                <w:sz w:val="17"/>
              </w:rPr>
              <w:t>Almacenamiento externo</w:t>
            </w:r>
          </w:p>
        </w:tc>
        <w:tc>
          <w:tcPr>
            <w:tcW w:type="dxa" w:w="2160"/>
          </w:tcPr>
          <w:p>
            <w:r/>
            <w:r>
              <w:rPr>
                <w:sz w:val="17"/>
              </w:rPr>
              <w:t>Estado sólido y alta velocidad de transferencia.</w:t>
            </w:r>
          </w:p>
        </w:tc>
        <w:tc>
          <w:tcPr>
            <w:tcW w:type="dxa" w:w="2160"/>
          </w:tcPr>
          <w:p>
            <w:r/>
            <w:r>
              <w:rPr>
                <w:b/>
                <w:color w:val="12805A"/>
                <w:sz w:val="17"/>
              </w:rPr>
              <w:t>Sí</w:t>
            </w:r>
          </w:p>
        </w:tc>
        <w:tc>
          <w:tcPr>
            <w:tcW w:type="dxa" w:w="2160"/>
          </w:tcPr>
          <w:p>
            <w:r/>
            <w:r>
              <w:rPr>
                <w:sz w:val="17"/>
              </w:rPr>
              <w:t>Cabina SAN externa HPE MSA2062, 123,04 TB combinados SSD+SAS, conectada por Fibre Channel.</w:t>
            </w:r>
          </w:p>
        </w:tc>
      </w:tr>
      <w:tr>
        <w:tc>
          <w:tcPr>
            <w:tcW w:type="dxa" w:w="2160"/>
          </w:tcPr>
          <w:p>
            <w:r/>
            <w:r>
              <w:rPr>
                <w:b/>
                <w:sz w:val="17"/>
              </w:rPr>
              <w:t>Almacenamiento — tecnologías</w:t>
            </w:r>
          </w:p>
        </w:tc>
        <w:tc>
          <w:tcPr>
            <w:tcW w:type="dxa" w:w="2160"/>
          </w:tcPr>
          <w:p>
            <w:r/>
            <w:r>
              <w:rPr>
                <w:sz w:val="17"/>
              </w:rPr>
              <w:t>SSD NVMe, RAID distribuido, compresión, deduplicación y snapshots.</w:t>
            </w:r>
          </w:p>
        </w:tc>
        <w:tc>
          <w:tcPr>
            <w:tcW w:type="dxa" w:w="2160"/>
          </w:tcPr>
          <w:p>
            <w:r/>
            <w:r>
              <w:rPr>
                <w:b/>
                <w:color w:val="B4560D"/>
                <w:sz w:val="17"/>
              </w:rPr>
              <w:t>Parcialmente</w:t>
            </w:r>
          </w:p>
        </w:tc>
        <w:tc>
          <w:tcPr>
            <w:tcW w:type="dxa" w:w="2160"/>
          </w:tcPr>
          <w:p>
            <w:r/>
            <w:r>
              <w:rPr>
                <w:sz w:val="17"/>
              </w:rPr>
              <w:t>SSD NVMe, compresión y snapshots disponibles a nivel de plataforma Sangfor (aSV). El RAID de la cabina externa HPE MSA2062 es RAID tradicional gestionado por el propio arreglo, no RAID distribuido tipo aSAN — coherente con el alcance de virtualización (sin hiperconvergencia de almacenamiento) confirmado por la ECI el 2-sep-2026.</w:t>
            </w:r>
          </w:p>
        </w:tc>
      </w:tr>
      <w:tr>
        <w:tc>
          <w:tcPr>
            <w:tcW w:type="dxa" w:w="2160"/>
          </w:tcPr>
          <w:p>
            <w:r/>
            <w:r>
              <w:rPr>
                <w:b/>
                <w:sz w:val="17"/>
              </w:rPr>
              <w:t>Tarjetas de red</w:t>
            </w:r>
          </w:p>
        </w:tc>
        <w:tc>
          <w:tcPr>
            <w:tcW w:type="dxa" w:w="2160"/>
          </w:tcPr>
          <w:p>
            <w:r/>
            <w:r>
              <w:rPr>
                <w:sz w:val="17"/>
              </w:rPr>
              <w:t>Mínimo 6 tarjetas de red a 10/25 Gbps, con soporte de VLAN, LACP y jumbo frames.</w:t>
            </w:r>
          </w:p>
        </w:tc>
        <w:tc>
          <w:tcPr>
            <w:tcW w:type="dxa" w:w="2160"/>
          </w:tcPr>
          <w:p>
            <w:r/>
            <w:r>
              <w:rPr>
                <w:b/>
                <w:color w:val="A32F2F"/>
                <w:sz w:val="17"/>
              </w:rPr>
              <w:t>Pendiente</w:t>
            </w:r>
          </w:p>
        </w:tc>
        <w:tc>
          <w:tcPr>
            <w:tcW w:type="dxa" w:w="2160"/>
          </w:tcPr>
          <w:p>
            <w:r/>
            <w:r>
              <w:rPr>
                <w:sz w:val="17"/>
              </w:rPr>
              <w:t>La configuración documentada por Cydesys especifica adaptadores Ethernet 10/25Gb de 2 puertos por nodo; falta confirmar con Cydesys la cantidad total de tarjetas por servidor para garantizar el mínimo de 6 puertos exigido. Se solicitará confirmación antes de radicar la propuesta final.</w:t>
            </w:r>
          </w:p>
        </w:tc>
      </w:tr>
      <w:tr>
        <w:tc>
          <w:tcPr>
            <w:tcW w:type="dxa" w:w="2160"/>
          </w:tcPr>
          <w:p>
            <w:r/>
            <w:r>
              <w:rPr>
                <w:b/>
                <w:sz w:val="17"/>
              </w:rPr>
              <w:t>Redundancia / tamaño — ventilación</w:t>
            </w:r>
          </w:p>
        </w:tc>
        <w:tc>
          <w:tcPr>
            <w:tcW w:type="dxa" w:w="2160"/>
          </w:tcPr>
          <w:p>
            <w:r/>
            <w:r>
              <w:rPr>
                <w:sz w:val="17"/>
              </w:rPr>
              <w:t>Módulo de ventilación con flujo de aire frontal a posterior.</w:t>
            </w:r>
          </w:p>
        </w:tc>
        <w:tc>
          <w:tcPr>
            <w:tcW w:type="dxa" w:w="2160"/>
          </w:tcPr>
          <w:p>
            <w:r/>
            <w:r>
              <w:rPr>
                <w:b/>
                <w:color w:val="12805A"/>
                <w:sz w:val="17"/>
              </w:rPr>
              <w:t>Sí</w:t>
            </w:r>
          </w:p>
        </w:tc>
        <w:tc>
          <w:tcPr>
            <w:tcW w:type="dxa" w:w="2160"/>
          </w:tcPr>
          <w:p>
            <w:r/>
            <w:r>
              <w:rPr>
                <w:sz w:val="17"/>
              </w:rPr>
              <w:t>Diseño estándar HPE ProLiant DL380 Gen11 con flujo de aire frontal-posterior certificado.</w:t>
            </w:r>
          </w:p>
        </w:tc>
      </w:tr>
      <w:tr>
        <w:tc>
          <w:tcPr>
            <w:tcW w:type="dxa" w:w="2160"/>
          </w:tcPr>
          <w:p>
            <w:r/>
            <w:r>
              <w:rPr>
                <w:b/>
                <w:sz w:val="17"/>
              </w:rPr>
              <w:t>Redundancia — fuentes de poder</w:t>
            </w:r>
          </w:p>
        </w:tc>
        <w:tc>
          <w:tcPr>
            <w:tcW w:type="dxa" w:w="2160"/>
          </w:tcPr>
          <w:p>
            <w:r/>
            <w:r>
              <w:rPr>
                <w:sz w:val="17"/>
              </w:rPr>
              <w:t>Fuentes de poder redundantes con capacidad suficiente para la carga eléctrica.</w:t>
            </w:r>
          </w:p>
        </w:tc>
        <w:tc>
          <w:tcPr>
            <w:tcW w:type="dxa" w:w="2160"/>
          </w:tcPr>
          <w:p>
            <w:r/>
            <w:r>
              <w:rPr>
                <w:b/>
                <w:color w:val="12805A"/>
                <w:sz w:val="17"/>
              </w:rPr>
              <w:t>Sí</w:t>
            </w:r>
          </w:p>
        </w:tc>
        <w:tc>
          <w:tcPr>
            <w:tcW w:type="dxa" w:w="2160"/>
          </w:tcPr>
          <w:p>
            <w:r/>
            <w:r>
              <w:rPr>
                <w:sz w:val="17"/>
              </w:rPr>
              <w:t>2 fuentes de 1kW por nodo, redundantes.</w:t>
            </w:r>
          </w:p>
        </w:tc>
      </w:tr>
      <w:tr>
        <w:tc>
          <w:tcPr>
            <w:tcW w:type="dxa" w:w="2160"/>
          </w:tcPr>
          <w:p>
            <w:r/>
            <w:r>
              <w:rPr>
                <w:b/>
                <w:sz w:val="17"/>
              </w:rPr>
              <w:t>Accesorios eléctricos</w:t>
            </w:r>
          </w:p>
        </w:tc>
        <w:tc>
          <w:tcPr>
            <w:tcW w:type="dxa" w:w="2160"/>
          </w:tcPr>
          <w:p>
            <w:r/>
            <w:r>
              <w:rPr>
                <w:sz w:val="17"/>
              </w:rPr>
              <w:t>Cable de poder 15A, conector NEMA 5-15 e IEC320-C15.</w:t>
            </w:r>
          </w:p>
        </w:tc>
        <w:tc>
          <w:tcPr>
            <w:tcW w:type="dxa" w:w="2160"/>
          </w:tcPr>
          <w:p>
            <w:r/>
            <w:r>
              <w:rPr>
                <w:b/>
                <w:color w:val="12805A"/>
                <w:sz w:val="17"/>
              </w:rPr>
              <w:t>Sí</w:t>
            </w:r>
          </w:p>
        </w:tc>
        <w:tc>
          <w:tcPr>
            <w:tcW w:type="dxa" w:w="2160"/>
          </w:tcPr>
          <w:p>
            <w:r/>
            <w:r>
              <w:rPr>
                <w:sz w:val="17"/>
              </w:rPr>
              <w:t>Estándar de infraestructura de TI, incluido con el equipo HPE.</w:t>
            </w:r>
          </w:p>
        </w:tc>
      </w:tr>
      <w:tr>
        <w:tc>
          <w:tcPr>
            <w:tcW w:type="dxa" w:w="2160"/>
          </w:tcPr>
          <w:p>
            <w:r/>
            <w:r>
              <w:rPr>
                <w:b/>
                <w:sz w:val="17"/>
              </w:rPr>
              <w:t>Interfaces ópticas</w:t>
            </w:r>
          </w:p>
        </w:tc>
        <w:tc>
          <w:tcPr>
            <w:tcW w:type="dxa" w:w="2160"/>
          </w:tcPr>
          <w:p>
            <w:r/>
            <w:r>
              <w:rPr>
                <w:sz w:val="17"/>
              </w:rPr>
              <w:t>Módulos ópticos de 10Gbps o superior, compatibles con la tecnología ofertada.</w:t>
            </w:r>
          </w:p>
        </w:tc>
        <w:tc>
          <w:tcPr>
            <w:tcW w:type="dxa" w:w="2160"/>
          </w:tcPr>
          <w:p>
            <w:r/>
            <w:r>
              <w:rPr>
                <w:b/>
                <w:color w:val="12805A"/>
                <w:sz w:val="17"/>
              </w:rPr>
              <w:t>Sí</w:t>
            </w:r>
          </w:p>
        </w:tc>
        <w:tc>
          <w:tcPr>
            <w:tcW w:type="dxa" w:w="2160"/>
          </w:tcPr>
          <w:p>
            <w:r/>
            <w:r>
              <w:rPr>
                <w:sz w:val="17"/>
              </w:rPr>
              <w:t>Adaptadores Ethernet 10/25Gb compatibles con módulos ópticos estándar del mercado.</w:t>
            </w:r>
          </w:p>
        </w:tc>
      </w:tr>
    </w:tbl>
    <w:p>
      <w:r>
        <w:br w:type="page"/>
      </w:r>
    </w:p>
    <w:p>
      <w:pPr>
        <w:pStyle w:val="Heading1"/>
      </w:pPr>
      <w:r>
        <w:rPr>
          <w:color w:val="08387F"/>
          <w:sz w:val="30"/>
        </w:rPr>
        <w:t>Requerimientos software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08387F"/>
          </w:tcPr>
          <w:p>
            <w:r/>
            <w:r>
              <w:rPr>
                <w:b/>
                <w:color w:val="FFFFFF"/>
                <w:sz w:val="17"/>
              </w:rPr>
              <w:t>Atributo</w:t>
            </w:r>
          </w:p>
        </w:tc>
        <w:tc>
          <w:tcPr>
            <w:tcW w:type="dxa" w:w="2160"/>
            <w:shd w:fill="08387F"/>
          </w:tcPr>
          <w:p>
            <w:r/>
            <w:r>
              <w:rPr>
                <w:b/>
                <w:color w:val="FFFFFF"/>
                <w:sz w:val="17"/>
              </w:rPr>
              <w:t>Descripción del requerimiento</w:t>
            </w:r>
          </w:p>
        </w:tc>
        <w:tc>
          <w:tcPr>
            <w:tcW w:type="dxa" w:w="2160"/>
            <w:shd w:fill="08387F"/>
          </w:tcPr>
          <w:p>
            <w:r/>
            <w:r>
              <w:rPr>
                <w:b/>
                <w:color w:val="FFFFFF"/>
                <w:sz w:val="17"/>
              </w:rPr>
              <w:t>Cumple</w:t>
            </w:r>
          </w:p>
        </w:tc>
        <w:tc>
          <w:tcPr>
            <w:tcW w:type="dxa" w:w="2160"/>
            <w:shd w:fill="08387F"/>
          </w:tcPr>
          <w:p>
            <w:r/>
            <w:r>
              <w:rPr>
                <w:b/>
                <w:color w:val="FFFFFF"/>
                <w:sz w:val="17"/>
              </w:rPr>
              <w:t>Cómo cumple / observación</w:t>
            </w:r>
          </w:p>
        </w:tc>
      </w:tr>
      <w:tr>
        <w:tc>
          <w:tcPr>
            <w:tcW w:type="dxa" w:w="2160"/>
          </w:tcPr>
          <w:p>
            <w:r/>
            <w:r>
              <w:rPr>
                <w:b/>
                <w:sz w:val="17"/>
              </w:rPr>
              <w:t>Reconocimiento</w:t>
            </w:r>
          </w:p>
        </w:tc>
        <w:tc>
          <w:tcPr>
            <w:tcW w:type="dxa" w:w="2160"/>
          </w:tcPr>
          <w:p>
            <w:r/>
            <w:r>
              <w:rPr>
                <w:sz w:val="17"/>
              </w:rPr>
              <w:t>El fabricante debe estar en el cuadrante de líderes de Gartner (o similar) en los últimos 2 años.</w:t>
            </w:r>
          </w:p>
        </w:tc>
        <w:tc>
          <w:tcPr>
            <w:tcW w:type="dxa" w:w="2160"/>
          </w:tcPr>
          <w:p>
            <w:r/>
            <w:r>
              <w:rPr>
                <w:b/>
                <w:color w:val="B4560D"/>
                <w:sz w:val="17"/>
              </w:rPr>
              <w:t>Parcialmente</w:t>
            </w:r>
          </w:p>
        </w:tc>
        <w:tc>
          <w:tcPr>
            <w:tcW w:type="dxa" w:w="2160"/>
          </w:tcPr>
          <w:p>
            <w:r/>
            <w:r>
              <w:rPr>
                <w:sz w:val="17"/>
              </w:rPr>
              <w:t>Sangfor no figura en el cuadrante de 'Líderes' del Magic Quadrant global de HCI (posición fuerte en Asia-Pacífico); se declara con transparencia — ver justificación de la solución en la propuesta técnica.</w:t>
            </w:r>
          </w:p>
        </w:tc>
      </w:tr>
      <w:tr>
        <w:tc>
          <w:tcPr>
            <w:tcW w:type="dxa" w:w="2160"/>
          </w:tcPr>
          <w:p>
            <w:r/>
            <w:r>
              <w:rPr>
                <w:b/>
                <w:sz w:val="17"/>
              </w:rPr>
              <w:t>Soporte / fin de vida</w:t>
            </w:r>
          </w:p>
        </w:tc>
        <w:tc>
          <w:tcPr>
            <w:tcW w:type="dxa" w:w="2160"/>
          </w:tcPr>
          <w:p>
            <w:r/>
            <w:r>
              <w:rPr>
                <w:sz w:val="17"/>
              </w:rPr>
              <w:t>Sin anuncio de fin de venta, fin de soporte, fin de ciclo o fin de vida por el fabricante.</w:t>
            </w:r>
          </w:p>
        </w:tc>
        <w:tc>
          <w:tcPr>
            <w:tcW w:type="dxa" w:w="2160"/>
          </w:tcPr>
          <w:p>
            <w:r/>
            <w:r>
              <w:rPr>
                <w:b/>
                <w:color w:val="12805A"/>
                <w:sz w:val="17"/>
              </w:rPr>
              <w:t>Sí</w:t>
            </w:r>
          </w:p>
        </w:tc>
        <w:tc>
          <w:tcPr>
            <w:tcW w:type="dxa" w:w="2160"/>
          </w:tcPr>
          <w:p>
            <w:r/>
            <w:r>
              <w:rPr>
                <w:sz w:val="17"/>
              </w:rPr>
              <w:t>Equipamiento 100% nuevo (HPE ProLiant DL380 Gen11) y licenciamiento Sangfor vigente, sin ningún anuncio de discontinuación.</w:t>
            </w:r>
          </w:p>
        </w:tc>
      </w:tr>
      <w:tr>
        <w:tc>
          <w:tcPr>
            <w:tcW w:type="dxa" w:w="2160"/>
          </w:tcPr>
          <w:p>
            <w:r/>
            <w:r>
              <w:rPr>
                <w:b/>
                <w:sz w:val="17"/>
              </w:rPr>
              <w:t>Tecnología — hipervisor soportado</w:t>
            </w:r>
          </w:p>
        </w:tc>
        <w:tc>
          <w:tcPr>
            <w:tcW w:type="dxa" w:w="2160"/>
          </w:tcPr>
          <w:p>
            <w:r/>
            <w:r>
              <w:rPr>
                <w:sz w:val="17"/>
              </w:rPr>
              <w:t>VMware, Hyper-V, Nutanix AHV, KVM, Sangfor, Simplivity, Greenlake u otro equivalente.</w:t>
            </w:r>
          </w:p>
        </w:tc>
        <w:tc>
          <w:tcPr>
            <w:tcW w:type="dxa" w:w="2160"/>
          </w:tcPr>
          <w:p>
            <w:r/>
            <w:r>
              <w:rPr>
                <w:b/>
                <w:color w:val="12805A"/>
                <w:sz w:val="17"/>
              </w:rPr>
              <w:t>Sí</w:t>
            </w:r>
          </w:p>
        </w:tc>
        <w:tc>
          <w:tcPr>
            <w:tcW w:type="dxa" w:w="2160"/>
          </w:tcPr>
          <w:p>
            <w:r/>
            <w:r>
              <w:rPr>
                <w:sz w:val="17"/>
              </w:rPr>
              <w:t>Plataforma Sangfor aSV, explícitamente listada como hipervisor aceptado por el TdR.</w:t>
            </w:r>
          </w:p>
        </w:tc>
      </w:tr>
      <w:tr>
        <w:tc>
          <w:tcPr>
            <w:tcW w:type="dxa" w:w="2160"/>
          </w:tcPr>
          <w:p>
            <w:r/>
            <w:r>
              <w:rPr>
                <w:b/>
                <w:sz w:val="17"/>
              </w:rPr>
              <w:t>Tecnología — plataforma de gestión de VMs/contenedores</w:t>
            </w:r>
          </w:p>
        </w:tc>
        <w:tc>
          <w:tcPr>
            <w:tcW w:type="dxa" w:w="2160"/>
          </w:tcPr>
          <w:p>
            <w:r/>
            <w:r>
              <w:rPr>
                <w:sz w:val="17"/>
              </w:rPr>
              <w:t>Plataforma robusta de última tecnología para creación y administración de máquinas virtuales y contenedores.</w:t>
            </w:r>
          </w:p>
        </w:tc>
        <w:tc>
          <w:tcPr>
            <w:tcW w:type="dxa" w:w="2160"/>
          </w:tcPr>
          <w:p>
            <w:r/>
            <w:r>
              <w:rPr>
                <w:b/>
                <w:color w:val="B4560D"/>
                <w:sz w:val="17"/>
              </w:rPr>
              <w:t>Parcialmente</w:t>
            </w:r>
          </w:p>
        </w:tc>
        <w:tc>
          <w:tcPr>
            <w:tcW w:type="dxa" w:w="2160"/>
          </w:tcPr>
          <w:p>
            <w:r/>
            <w:r>
              <w:rPr>
                <w:sz w:val="17"/>
              </w:rPr>
              <w:t>Gestión de máquinas virtuales (aSV) incluida en el alcance contratado. La gestión de contenedores (KubeManager) es una capacidad disponible de la plataforma Sangfor, pero queda fuera del alcance confirmado para esta fase — disponible como crecimiento futuro.</w:t>
            </w:r>
          </w:p>
        </w:tc>
      </w:tr>
      <w:tr>
        <w:tc>
          <w:tcPr>
            <w:tcW w:type="dxa" w:w="2160"/>
          </w:tcPr>
          <w:p>
            <w:r/>
            <w:r>
              <w:rPr>
                <w:b/>
                <w:sz w:val="17"/>
              </w:rPr>
              <w:t>Tecnología — funcionalidades de HA</w:t>
            </w:r>
          </w:p>
        </w:tc>
        <w:tc>
          <w:tcPr>
            <w:tcW w:type="dxa" w:w="2160"/>
          </w:tcPr>
          <w:p>
            <w:r/>
            <w:r>
              <w:rPr>
                <w:sz w:val="17"/>
              </w:rPr>
              <w:t>HA, Live Migration, balanceo automático, reinicio automático, snapshots, clonación, plantillas, Thin Provisioning.</w:t>
            </w:r>
          </w:p>
        </w:tc>
        <w:tc>
          <w:tcPr>
            <w:tcW w:type="dxa" w:w="2160"/>
          </w:tcPr>
          <w:p>
            <w:r/>
            <w:r>
              <w:rPr>
                <w:b/>
                <w:color w:val="12805A"/>
                <w:sz w:val="17"/>
              </w:rPr>
              <w:t>Sí</w:t>
            </w:r>
          </w:p>
        </w:tc>
        <w:tc>
          <w:tcPr>
            <w:tcW w:type="dxa" w:w="2160"/>
          </w:tcPr>
          <w:p>
            <w:r/>
            <w:r>
              <w:rPr>
                <w:sz w:val="17"/>
              </w:rPr>
              <w:t>Todas las funcionalidades incluidas de forma nativa en Sangfor aSV: HA multi-activa (tolerancia a 2 nodos), live migration, snapshots inmutables, clonación, plantillas y aprovisionamiento ligero.</w:t>
            </w:r>
          </w:p>
        </w:tc>
      </w:tr>
      <w:tr>
        <w:tc>
          <w:tcPr>
            <w:tcW w:type="dxa" w:w="2160"/>
          </w:tcPr>
          <w:p>
            <w:r/>
            <w:r>
              <w:rPr>
                <w:b/>
                <w:sz w:val="17"/>
              </w:rPr>
              <w:t>Administración — consola centralizada</w:t>
            </w:r>
          </w:p>
        </w:tc>
        <w:tc>
          <w:tcPr>
            <w:tcW w:type="dxa" w:w="2160"/>
          </w:tcPr>
          <w:p>
            <w:r/>
            <w:r>
              <w:rPr>
                <w:sz w:val="17"/>
              </w:rPr>
              <w:t>Consola centralizada de alta disponibilidad en cualquier modalidad.</w:t>
            </w:r>
          </w:p>
        </w:tc>
        <w:tc>
          <w:tcPr>
            <w:tcW w:type="dxa" w:w="2160"/>
          </w:tcPr>
          <w:p>
            <w:r/>
            <w:r>
              <w:rPr>
                <w:b/>
                <w:color w:val="12805A"/>
                <w:sz w:val="17"/>
              </w:rPr>
              <w:t>Sí</w:t>
            </w:r>
          </w:p>
        </w:tc>
        <w:tc>
          <w:tcPr>
            <w:tcW w:type="dxa" w:w="2160"/>
          </w:tcPr>
          <w:p>
            <w:r/>
            <w:r>
              <w:rPr>
                <w:sz w:val="17"/>
              </w:rPr>
              <w:t>Consola SCP + SkyOps (monitoreo con IA), interfaz HTML5, en alta disponibilidad.</w:t>
            </w:r>
          </w:p>
        </w:tc>
      </w:tr>
      <w:tr>
        <w:tc>
          <w:tcPr>
            <w:tcW w:type="dxa" w:w="2160"/>
          </w:tcPr>
          <w:p>
            <w:r/>
            <w:r>
              <w:rPr>
                <w:b/>
                <w:sz w:val="17"/>
              </w:rPr>
              <w:t>Administración — alcance de gestión</w:t>
            </w:r>
          </w:p>
        </w:tc>
        <w:tc>
          <w:tcPr>
            <w:tcW w:type="dxa" w:w="2160"/>
          </w:tcPr>
          <w:p>
            <w:r/>
            <w:r>
              <w:rPr>
                <w:sz w:val="17"/>
              </w:rPr>
              <w:t>La consola debe administrar host, VMs, redes, almacenamiento, alertas y monitoreo.</w:t>
            </w:r>
          </w:p>
        </w:tc>
        <w:tc>
          <w:tcPr>
            <w:tcW w:type="dxa" w:w="2160"/>
          </w:tcPr>
          <w:p>
            <w:r/>
            <w:r>
              <w:rPr>
                <w:b/>
                <w:color w:val="B4560D"/>
                <w:sz w:val="17"/>
              </w:rPr>
              <w:t>Parcialmente</w:t>
            </w:r>
          </w:p>
        </w:tc>
        <w:tc>
          <w:tcPr>
            <w:tcW w:type="dxa" w:w="2160"/>
          </w:tcPr>
          <w:p>
            <w:r/>
            <w:r>
              <w:rPr>
                <w:sz w:val="17"/>
              </w:rPr>
              <w:t>SCP administra host, VMs (aSV), redes (aNet), alertas y monitoreo. El almacenamiento de la cabina SAN externa HPE se administra desde la consola propia del fabricante HPE, dado que el alcance no incluye aSAN (almacenamiento definido por software).</w:t>
            </w:r>
          </w:p>
        </w:tc>
      </w:tr>
      <w:tr>
        <w:tc>
          <w:tcPr>
            <w:tcW w:type="dxa" w:w="2160"/>
          </w:tcPr>
          <w:p>
            <w:r/>
            <w:r>
              <w:rPr>
                <w:b/>
                <w:sz w:val="17"/>
              </w:rPr>
              <w:t>Seguridad</w:t>
            </w:r>
          </w:p>
        </w:tc>
        <w:tc>
          <w:tcPr>
            <w:tcW w:type="dxa" w:w="2160"/>
          </w:tcPr>
          <w:p>
            <w:r/>
            <w:r>
              <w:rPr>
                <w:sz w:val="17"/>
              </w:rPr>
              <w:t>Active Directory/LDAP, MFA, RBAC, Auditoría, Syslog, TLS 1.2+, cifrado en comunicaciones.</w:t>
            </w:r>
          </w:p>
        </w:tc>
        <w:tc>
          <w:tcPr>
            <w:tcW w:type="dxa" w:w="2160"/>
          </w:tcPr>
          <w:p>
            <w:r/>
            <w:r>
              <w:rPr>
                <w:b/>
                <w:color w:val="12805A"/>
                <w:sz w:val="17"/>
              </w:rPr>
              <w:t>Sí</w:t>
            </w:r>
          </w:p>
        </w:tc>
        <w:tc>
          <w:tcPr>
            <w:tcW w:type="dxa" w:w="2160"/>
          </w:tcPr>
          <w:p>
            <w:r/>
            <w:r>
              <w:rPr>
                <w:sz w:val="17"/>
              </w:rPr>
              <w:t>Soporte nativo confirmado para AD/LDAP, RBAC, TLS 1.2+, cifrado AES-256 y registro de auditoría vía Syslog.</w:t>
            </w:r>
          </w:p>
        </w:tc>
      </w:tr>
      <w:tr>
        <w:tc>
          <w:tcPr>
            <w:tcW w:type="dxa" w:w="2160"/>
          </w:tcPr>
          <w:p>
            <w:r/>
            <w:r>
              <w:rPr>
                <w:b/>
                <w:sz w:val="17"/>
              </w:rPr>
              <w:t>Disponibilidad</w:t>
            </w:r>
          </w:p>
        </w:tc>
        <w:tc>
          <w:tcPr>
            <w:tcW w:type="dxa" w:w="2160"/>
          </w:tcPr>
          <w:p>
            <w:r/>
            <w:r>
              <w:rPr>
                <w:sz w:val="17"/>
              </w:rPr>
              <w:t>Mínimo 99,9% en cualquier modalidad.</w:t>
            </w:r>
          </w:p>
        </w:tc>
        <w:tc>
          <w:tcPr>
            <w:tcW w:type="dxa" w:w="2160"/>
          </w:tcPr>
          <w:p>
            <w:r/>
            <w:r>
              <w:rPr>
                <w:b/>
                <w:color w:val="12805A"/>
                <w:sz w:val="17"/>
              </w:rPr>
              <w:t>Sí</w:t>
            </w:r>
          </w:p>
        </w:tc>
        <w:tc>
          <w:tcPr>
            <w:tcW w:type="dxa" w:w="2160"/>
          </w:tcPr>
          <w:p>
            <w:r/>
            <w:r>
              <w:rPr>
                <w:sz w:val="17"/>
              </w:rPr>
              <w:t>Disponibilidad garantizada del 99,9% para la arquitectura lógica central.</w:t>
            </w:r>
          </w:p>
        </w:tc>
      </w:tr>
      <w:tr>
        <w:tc>
          <w:tcPr>
            <w:tcW w:type="dxa" w:w="2160"/>
          </w:tcPr>
          <w:p>
            <w:r/>
            <w:r>
              <w:rPr>
                <w:b/>
                <w:sz w:val="17"/>
              </w:rPr>
              <w:t>Backup</w:t>
            </w:r>
          </w:p>
        </w:tc>
        <w:tc>
          <w:tcPr>
            <w:tcW w:type="dxa" w:w="2160"/>
          </w:tcPr>
          <w:p>
            <w:r/>
            <w:r>
              <w:rPr>
                <w:sz w:val="17"/>
              </w:rPr>
              <w:t>Compatible con Acronis y APIs estándar; indicar compatibilidad con otras soluciones.</w:t>
            </w:r>
          </w:p>
        </w:tc>
        <w:tc>
          <w:tcPr>
            <w:tcW w:type="dxa" w:w="2160"/>
          </w:tcPr>
          <w:p>
            <w:r/>
            <w:r>
              <w:rPr>
                <w:b/>
                <w:color w:val="12805A"/>
                <w:sz w:val="17"/>
              </w:rPr>
              <w:t>Sí</w:t>
            </w:r>
          </w:p>
        </w:tc>
        <w:tc>
          <w:tcPr>
            <w:tcW w:type="dxa" w:w="2160"/>
          </w:tcPr>
          <w:p>
            <w:r/>
            <w:r>
              <w:rPr>
                <w:sz w:val="17"/>
              </w:rPr>
              <w:t>Compatibilidad nativa confirmada con Acronis (sin obligación de reemplazo, según respuesta oficial de la ECI del 2-sep-2026) y backup nativo incluido en la licencia (Built-in Backup).</w:t>
            </w:r>
          </w:p>
        </w:tc>
      </w:tr>
      <w:tr>
        <w:tc>
          <w:tcPr>
            <w:tcW w:type="dxa" w:w="2160"/>
          </w:tcPr>
          <w:p>
            <w:r/>
            <w:r>
              <w:rPr>
                <w:b/>
                <w:sz w:val="17"/>
              </w:rPr>
              <w:t>Deseables</w:t>
            </w:r>
          </w:p>
        </w:tc>
        <w:tc>
          <w:tcPr>
            <w:tcW w:type="dxa" w:w="2160"/>
          </w:tcPr>
          <w:p>
            <w:r/>
            <w:r>
              <w:rPr>
                <w:sz w:val="17"/>
              </w:rPr>
              <w:t>Administración HTML5, API REST, Terraform, Ansible, Kubernetes-ready, integración nube pública, automatización, monitoreo proactivo, IA para capacity planning.</w:t>
            </w:r>
          </w:p>
        </w:tc>
        <w:tc>
          <w:tcPr>
            <w:tcW w:type="dxa" w:w="2160"/>
          </w:tcPr>
          <w:p>
            <w:r/>
            <w:r>
              <w:rPr>
                <w:b/>
                <w:color w:val="B4560D"/>
                <w:sz w:val="17"/>
              </w:rPr>
              <w:t>Parcialmente</w:t>
            </w:r>
          </w:p>
        </w:tc>
        <w:tc>
          <w:tcPr>
            <w:tcW w:type="dxa" w:w="2160"/>
          </w:tcPr>
          <w:p>
            <w:r/>
            <w:r>
              <w:rPr>
                <w:sz w:val="17"/>
              </w:rPr>
              <w:t>Confirmado: administración HTML5 y monitoreo proactivo con IA (SkyOps). Pendiente de confirmar con Sangfor/EVOCOM: soporte de API REST, integración con Terraform/Ansible y Kubernetes-ready (KubeManager disponible pero fuera del alcance de esta fase).</w:t>
            </w:r>
          </w:p>
        </w:tc>
      </w:tr>
    </w:tbl>
    <w:p>
      <w:r>
        <w:br w:type="page"/>
      </w:r>
    </w:p>
    <w:p>
      <w:pPr>
        <w:pStyle w:val="Heading1"/>
      </w:pPr>
      <w:r>
        <w:rPr>
          <w:color w:val="08387F"/>
          <w:sz w:val="30"/>
        </w:rPr>
        <w:t>Requerimientos — generalidades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08387F"/>
          </w:tcPr>
          <w:p>
            <w:r/>
            <w:r>
              <w:rPr>
                <w:b/>
                <w:color w:val="FFFFFF"/>
                <w:sz w:val="17"/>
              </w:rPr>
              <w:t>Atributo</w:t>
            </w:r>
          </w:p>
        </w:tc>
        <w:tc>
          <w:tcPr>
            <w:tcW w:type="dxa" w:w="2160"/>
            <w:shd w:fill="08387F"/>
          </w:tcPr>
          <w:p>
            <w:r/>
            <w:r>
              <w:rPr>
                <w:b/>
                <w:color w:val="FFFFFF"/>
                <w:sz w:val="17"/>
              </w:rPr>
              <w:t>Descripción del requerimiento</w:t>
            </w:r>
          </w:p>
        </w:tc>
        <w:tc>
          <w:tcPr>
            <w:tcW w:type="dxa" w:w="2160"/>
            <w:shd w:fill="08387F"/>
          </w:tcPr>
          <w:p>
            <w:r/>
            <w:r>
              <w:rPr>
                <w:b/>
                <w:color w:val="FFFFFF"/>
                <w:sz w:val="17"/>
              </w:rPr>
              <w:t>Cumple</w:t>
            </w:r>
          </w:p>
        </w:tc>
        <w:tc>
          <w:tcPr>
            <w:tcW w:type="dxa" w:w="2160"/>
            <w:shd w:fill="08387F"/>
          </w:tcPr>
          <w:p>
            <w:r/>
            <w:r>
              <w:rPr>
                <w:b/>
                <w:color w:val="FFFFFF"/>
                <w:sz w:val="17"/>
              </w:rPr>
              <w:t>Cómo cumple / observación</w:t>
            </w:r>
          </w:p>
        </w:tc>
      </w:tr>
      <w:tr>
        <w:tc>
          <w:tcPr>
            <w:tcW w:type="dxa" w:w="2160"/>
          </w:tcPr>
          <w:p>
            <w:r/>
            <w:r>
              <w:rPr>
                <w:b/>
                <w:sz w:val="17"/>
              </w:rPr>
              <w:t>Generalidades</w:t>
            </w:r>
          </w:p>
        </w:tc>
        <w:tc>
          <w:tcPr>
            <w:tcW w:type="dxa" w:w="2160"/>
          </w:tcPr>
          <w:p>
            <w:r/>
            <w:r>
              <w:rPr>
                <w:sz w:val="17"/>
              </w:rPr>
              <w:t>El fabricante debe estar en el cuadrante de líderes de Gartner en los últimos 2 años.</w:t>
            </w:r>
          </w:p>
        </w:tc>
        <w:tc>
          <w:tcPr>
            <w:tcW w:type="dxa" w:w="2160"/>
          </w:tcPr>
          <w:p>
            <w:r/>
            <w:r>
              <w:rPr>
                <w:b/>
                <w:color w:val="B4560D"/>
                <w:sz w:val="17"/>
              </w:rPr>
              <w:t>Parcialmente</w:t>
            </w:r>
          </w:p>
        </w:tc>
        <w:tc>
          <w:tcPr>
            <w:tcW w:type="dxa" w:w="2160"/>
          </w:tcPr>
          <w:p>
            <w:r/>
            <w:r>
              <w:rPr>
                <w:sz w:val="17"/>
              </w:rPr>
              <w:t>Ver justificación en la sección de Requerimientos Software — HPE cumple sin ambigüedad, Sangfor se declara con transparencia.</w:t>
            </w:r>
          </w:p>
        </w:tc>
      </w:tr>
      <w:tr>
        <w:tc>
          <w:tcPr>
            <w:tcW w:type="dxa" w:w="2160"/>
          </w:tcPr>
          <w:p>
            <w:r/>
            <w:r>
              <w:rPr>
                <w:b/>
                <w:sz w:val="17"/>
              </w:rPr>
              <w:t>Generalidades</w:t>
            </w:r>
          </w:p>
        </w:tc>
        <w:tc>
          <w:tcPr>
            <w:tcW w:type="dxa" w:w="2160"/>
          </w:tcPr>
          <w:p>
            <w:r/>
            <w:r>
              <w:rPr>
                <w:sz w:val="17"/>
              </w:rPr>
              <w:t>La solución debe operar en modalidad on-premise, nube o híbrida con alta disponibilidad.</w:t>
            </w:r>
          </w:p>
        </w:tc>
        <w:tc>
          <w:tcPr>
            <w:tcW w:type="dxa" w:w="2160"/>
          </w:tcPr>
          <w:p>
            <w:r/>
            <w:r>
              <w:rPr>
                <w:b/>
                <w:color w:val="12805A"/>
                <w:sz w:val="17"/>
              </w:rPr>
              <w:t>Sí</w:t>
            </w:r>
          </w:p>
        </w:tc>
        <w:tc>
          <w:tcPr>
            <w:tcW w:type="dxa" w:w="2160"/>
          </w:tcPr>
          <w:p>
            <w:r/>
            <w:r>
              <w:rPr>
                <w:sz w:val="17"/>
              </w:rPr>
              <w:t>Modalidad on-premise, con HA multi-activa (tolerancia a 2 nodos).</w:t>
            </w:r>
          </w:p>
        </w:tc>
      </w:tr>
      <w:tr>
        <w:tc>
          <w:tcPr>
            <w:tcW w:type="dxa" w:w="2160"/>
          </w:tcPr>
          <w:p>
            <w:r/>
            <w:r>
              <w:rPr>
                <w:b/>
                <w:sz w:val="17"/>
              </w:rPr>
              <w:t>Generalidades</w:t>
            </w:r>
          </w:p>
        </w:tc>
        <w:tc>
          <w:tcPr>
            <w:tcW w:type="dxa" w:w="2160"/>
          </w:tcPr>
          <w:p>
            <w:r/>
            <w:r>
              <w:rPr>
                <w:sz w:val="17"/>
              </w:rPr>
              <w:t>El proveedor debe incluir diseño de arquitectura, suministro de hardware, licencias, implementación, migración, capacitación, documentación y soporte.</w:t>
            </w:r>
          </w:p>
        </w:tc>
        <w:tc>
          <w:tcPr>
            <w:tcW w:type="dxa" w:w="2160"/>
          </w:tcPr>
          <w:p>
            <w:r/>
            <w:r>
              <w:rPr>
                <w:b/>
                <w:color w:val="12805A"/>
                <w:sz w:val="17"/>
              </w:rPr>
              <w:t>Sí</w:t>
            </w:r>
          </w:p>
        </w:tc>
        <w:tc>
          <w:tcPr>
            <w:tcW w:type="dxa" w:w="2160"/>
          </w:tcPr>
          <w:p>
            <w:r/>
            <w:r>
              <w:rPr>
                <w:sz w:val="17"/>
              </w:rPr>
              <w:t>Todo incluido en la propuesta técnica y en el plan de transición por fases.</w:t>
            </w:r>
          </w:p>
        </w:tc>
      </w:tr>
      <w:tr>
        <w:tc>
          <w:tcPr>
            <w:tcW w:type="dxa" w:w="2160"/>
          </w:tcPr>
          <w:p>
            <w:r/>
            <w:r>
              <w:rPr>
                <w:b/>
                <w:sz w:val="17"/>
              </w:rPr>
              <w:t>Generalidades</w:t>
            </w:r>
          </w:p>
        </w:tc>
        <w:tc>
          <w:tcPr>
            <w:tcW w:type="dxa" w:w="2160"/>
          </w:tcPr>
          <w:p>
            <w:r/>
            <w:r>
              <w:rPr>
                <w:sz w:val="17"/>
              </w:rPr>
              <w:t>La capacidad de almacenamiento debe estar entre 80 y 100 TB.</w:t>
            </w:r>
          </w:p>
        </w:tc>
        <w:tc>
          <w:tcPr>
            <w:tcW w:type="dxa" w:w="2160"/>
          </w:tcPr>
          <w:p>
            <w:r/>
            <w:r>
              <w:rPr>
                <w:b/>
                <w:color w:val="12805A"/>
                <w:sz w:val="17"/>
              </w:rPr>
              <w:t>Sí</w:t>
            </w:r>
          </w:p>
        </w:tc>
        <w:tc>
          <w:tcPr>
            <w:tcW w:type="dxa" w:w="2160"/>
          </w:tcPr>
          <w:p>
            <w:r/>
            <w:r>
              <w:rPr>
                <w:sz w:val="17"/>
              </w:rPr>
              <w:t>Cabina HPE MSA2062: 123,04 TB combinados (SSD+SAS) — cumple y supera el rango exigido.</w:t>
            </w:r>
          </w:p>
        </w:tc>
      </w:tr>
      <w:tr>
        <w:tc>
          <w:tcPr>
            <w:tcW w:type="dxa" w:w="2160"/>
          </w:tcPr>
          <w:p>
            <w:r/>
            <w:r>
              <w:rPr>
                <w:b/>
                <w:sz w:val="17"/>
              </w:rPr>
              <w:t>Generalidades</w:t>
            </w:r>
          </w:p>
        </w:tc>
        <w:tc>
          <w:tcPr>
            <w:tcW w:type="dxa" w:w="2160"/>
          </w:tcPr>
          <w:p>
            <w:r/>
            <w:r>
              <w:rPr>
                <w:sz w:val="17"/>
              </w:rPr>
              <w:t>Si la solución es en nube, la capacidad debe ser flexible y escalable.</w:t>
            </w:r>
          </w:p>
        </w:tc>
        <w:tc>
          <w:tcPr>
            <w:tcW w:type="dxa" w:w="2160"/>
          </w:tcPr>
          <w:p>
            <w:r/>
            <w:r>
              <w:rPr>
                <w:b/>
                <w:color w:val="42506B"/>
                <w:sz w:val="17"/>
              </w:rPr>
              <w:t>No aplica</w:t>
            </w:r>
          </w:p>
        </w:tc>
        <w:tc>
          <w:tcPr>
            <w:tcW w:type="dxa" w:w="2160"/>
          </w:tcPr>
          <w:p>
            <w:r/>
            <w:r>
              <w:rPr>
                <w:sz w:val="17"/>
              </w:rPr>
              <w:t>Solución on-premise, no en nube.</w:t>
            </w:r>
          </w:p>
        </w:tc>
      </w:tr>
    </w:tbl>
    <w:p>
      <w:r>
        <w:br w:type="page"/>
      </w:r>
    </w:p>
    <w:p>
      <w:pPr>
        <w:pStyle w:val="Heading1"/>
      </w:pPr>
      <w:r>
        <w:rPr>
          <w:color w:val="08387F"/>
          <w:sz w:val="30"/>
        </w:rPr>
        <w:t>Requerimientos de calidad externa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08387F"/>
          </w:tcPr>
          <w:p>
            <w:r/>
            <w:r>
              <w:rPr>
                <w:b/>
                <w:color w:val="FFFFFF"/>
                <w:sz w:val="17"/>
              </w:rPr>
              <w:t>Atributo</w:t>
            </w:r>
          </w:p>
        </w:tc>
        <w:tc>
          <w:tcPr>
            <w:tcW w:type="dxa" w:w="2160"/>
            <w:shd w:fill="08387F"/>
          </w:tcPr>
          <w:p>
            <w:r/>
            <w:r>
              <w:rPr>
                <w:b/>
                <w:color w:val="FFFFFF"/>
                <w:sz w:val="17"/>
              </w:rPr>
              <w:t>Descripción del requerimiento</w:t>
            </w:r>
          </w:p>
        </w:tc>
        <w:tc>
          <w:tcPr>
            <w:tcW w:type="dxa" w:w="2160"/>
            <w:shd w:fill="08387F"/>
          </w:tcPr>
          <w:p>
            <w:r/>
            <w:r>
              <w:rPr>
                <w:b/>
                <w:color w:val="FFFFFF"/>
                <w:sz w:val="17"/>
              </w:rPr>
              <w:t>Cumple</w:t>
            </w:r>
          </w:p>
        </w:tc>
        <w:tc>
          <w:tcPr>
            <w:tcW w:type="dxa" w:w="2160"/>
            <w:shd w:fill="08387F"/>
          </w:tcPr>
          <w:p>
            <w:r/>
            <w:r>
              <w:rPr>
                <w:b/>
                <w:color w:val="FFFFFF"/>
                <w:sz w:val="17"/>
              </w:rPr>
              <w:t>Cómo cumple / observación</w:t>
            </w:r>
          </w:p>
        </w:tc>
      </w:tr>
      <w:tr>
        <w:tc>
          <w:tcPr>
            <w:tcW w:type="dxa" w:w="2160"/>
          </w:tcPr>
          <w:p>
            <w:r/>
            <w:r>
              <w:rPr>
                <w:b/>
                <w:sz w:val="17"/>
              </w:rPr>
              <w:t>Capacidad de Alta Disponibilidad</w:t>
            </w:r>
          </w:p>
        </w:tc>
        <w:tc>
          <w:tcPr>
            <w:tcW w:type="dxa" w:w="2160"/>
          </w:tcPr>
          <w:p>
            <w:r/>
            <w:r>
              <w:rPr>
                <w:sz w:val="17"/>
              </w:rPr>
              <w:t>Tolerancia a falla de nodo sin interrupción del servicio.</w:t>
            </w:r>
          </w:p>
        </w:tc>
        <w:tc>
          <w:tcPr>
            <w:tcW w:type="dxa" w:w="2160"/>
          </w:tcPr>
          <w:p>
            <w:r/>
            <w:r>
              <w:rPr>
                <w:b/>
                <w:color w:val="12805A"/>
                <w:sz w:val="17"/>
              </w:rPr>
              <w:t>Sí</w:t>
            </w:r>
          </w:p>
        </w:tc>
        <w:tc>
          <w:tcPr>
            <w:tcW w:type="dxa" w:w="2160"/>
          </w:tcPr>
          <w:p>
            <w:r/>
            <w:r>
              <w:rPr>
                <w:sz w:val="17"/>
              </w:rPr>
              <w:t>HA multi-activa: tolerancia a la pérdida simultánea de hasta 2 nodos.</w:t>
            </w:r>
          </w:p>
        </w:tc>
      </w:tr>
      <w:tr>
        <w:tc>
          <w:tcPr>
            <w:tcW w:type="dxa" w:w="2160"/>
          </w:tcPr>
          <w:p>
            <w:r/>
            <w:r>
              <w:rPr>
                <w:b/>
                <w:sz w:val="17"/>
              </w:rPr>
              <w:t>Capacidad de Alta Disponibilidad</w:t>
            </w:r>
          </w:p>
        </w:tc>
        <w:tc>
          <w:tcPr>
            <w:tcW w:type="dxa" w:w="2160"/>
          </w:tcPr>
          <w:p>
            <w:r/>
            <w:r>
              <w:rPr>
                <w:sz w:val="17"/>
              </w:rPr>
              <w:t>Migración en vivo de cargas sin interrupción de servicio.</w:t>
            </w:r>
          </w:p>
        </w:tc>
        <w:tc>
          <w:tcPr>
            <w:tcW w:type="dxa" w:w="2160"/>
          </w:tcPr>
          <w:p>
            <w:r/>
            <w:r>
              <w:rPr>
                <w:b/>
                <w:color w:val="12805A"/>
                <w:sz w:val="17"/>
              </w:rPr>
              <w:t>Sí</w:t>
            </w:r>
          </w:p>
        </w:tc>
        <w:tc>
          <w:tcPr>
            <w:tcW w:type="dxa" w:w="2160"/>
          </w:tcPr>
          <w:p>
            <w:r/>
            <w:r>
              <w:rPr>
                <w:sz w:val="17"/>
              </w:rPr>
              <w:t>Live migration nativa de Sangfor aSV.</w:t>
            </w:r>
          </w:p>
        </w:tc>
      </w:tr>
      <w:tr>
        <w:tc>
          <w:tcPr>
            <w:tcW w:type="dxa" w:w="2160"/>
          </w:tcPr>
          <w:p>
            <w:r/>
            <w:r>
              <w:rPr>
                <w:b/>
                <w:sz w:val="17"/>
              </w:rPr>
              <w:t>Capacidad de Alta Disponibilidad</w:t>
            </w:r>
          </w:p>
        </w:tc>
        <w:tc>
          <w:tcPr>
            <w:tcW w:type="dxa" w:w="2160"/>
          </w:tcPr>
          <w:p>
            <w:r/>
            <w:r>
              <w:rPr>
                <w:sz w:val="17"/>
              </w:rPr>
              <w:t>Recuperación ante desastres con RPO/RTO acotados.</w:t>
            </w:r>
          </w:p>
        </w:tc>
        <w:tc>
          <w:tcPr>
            <w:tcW w:type="dxa" w:w="2160"/>
          </w:tcPr>
          <w:p>
            <w:r/>
            <w:r>
              <w:rPr>
                <w:b/>
                <w:color w:val="12805A"/>
                <w:sz w:val="17"/>
              </w:rPr>
              <w:t>Sí</w:t>
            </w:r>
          </w:p>
        </w:tc>
        <w:tc>
          <w:tcPr>
            <w:tcW w:type="dxa" w:w="2160"/>
          </w:tcPr>
          <w:p>
            <w:r/>
            <w:r>
              <w:rPr>
                <w:sz w:val="17"/>
              </w:rPr>
              <w:t>RPO≈0 (hasta 1 segundo con CDP nativo), RTO de segundos a 30 minutos.</w:t>
            </w:r>
          </w:p>
        </w:tc>
      </w:tr>
      <w:tr>
        <w:tc>
          <w:tcPr>
            <w:tcW w:type="dxa" w:w="2160"/>
          </w:tcPr>
          <w:p>
            <w:r/>
            <w:r>
              <w:rPr>
                <w:b/>
                <w:sz w:val="17"/>
              </w:rPr>
              <w:t>Capacidad de Alta Disponibilidad</w:t>
            </w:r>
          </w:p>
        </w:tc>
        <w:tc>
          <w:tcPr>
            <w:tcW w:type="dxa" w:w="2160"/>
          </w:tcPr>
          <w:p>
            <w:r/>
            <w:r>
              <w:rPr>
                <w:sz w:val="17"/>
              </w:rPr>
              <w:t>Disponibilidad garantizada contractualmente.</w:t>
            </w:r>
          </w:p>
        </w:tc>
        <w:tc>
          <w:tcPr>
            <w:tcW w:type="dxa" w:w="2160"/>
          </w:tcPr>
          <w:p>
            <w:r/>
            <w:r>
              <w:rPr>
                <w:b/>
                <w:color w:val="12805A"/>
                <w:sz w:val="17"/>
              </w:rPr>
              <w:t>Sí</w:t>
            </w:r>
          </w:p>
        </w:tc>
        <w:tc>
          <w:tcPr>
            <w:tcW w:type="dxa" w:w="2160"/>
          </w:tcPr>
          <w:p>
            <w:r/>
            <w:r>
              <w:rPr>
                <w:sz w:val="17"/>
              </w:rPr>
              <w:t>99,9% de disponibilidad, respaldo contractual (ANS).</w:t>
            </w:r>
          </w:p>
        </w:tc>
      </w:tr>
    </w:tbl>
    <w:p>
      <w:pPr>
        <w:pStyle w:val="Heading1"/>
      </w:pPr>
      <w:r>
        <w:rPr>
          <w:color w:val="08387F"/>
          <w:sz w:val="30"/>
        </w:rPr>
        <w:t>Requerimiento de calidad de uso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08387F"/>
          </w:tcPr>
          <w:p>
            <w:r/>
            <w:r>
              <w:rPr>
                <w:b/>
                <w:color w:val="FFFFFF"/>
                <w:sz w:val="17"/>
              </w:rPr>
              <w:t>Atributo</w:t>
            </w:r>
          </w:p>
        </w:tc>
        <w:tc>
          <w:tcPr>
            <w:tcW w:type="dxa" w:w="2160"/>
            <w:shd w:fill="08387F"/>
          </w:tcPr>
          <w:p>
            <w:r/>
            <w:r>
              <w:rPr>
                <w:b/>
                <w:color w:val="FFFFFF"/>
                <w:sz w:val="17"/>
              </w:rPr>
              <w:t>Descripción del requerimiento</w:t>
            </w:r>
          </w:p>
        </w:tc>
        <w:tc>
          <w:tcPr>
            <w:tcW w:type="dxa" w:w="2160"/>
            <w:shd w:fill="08387F"/>
          </w:tcPr>
          <w:p>
            <w:r/>
            <w:r>
              <w:rPr>
                <w:b/>
                <w:color w:val="FFFFFF"/>
                <w:sz w:val="17"/>
              </w:rPr>
              <w:t>Cumple</w:t>
            </w:r>
          </w:p>
        </w:tc>
        <w:tc>
          <w:tcPr>
            <w:tcW w:type="dxa" w:w="2160"/>
            <w:shd w:fill="08387F"/>
          </w:tcPr>
          <w:p>
            <w:r/>
            <w:r>
              <w:rPr>
                <w:b/>
                <w:color w:val="FFFFFF"/>
                <w:sz w:val="17"/>
              </w:rPr>
              <w:t>Cómo cumple / observación</w:t>
            </w:r>
          </w:p>
        </w:tc>
      </w:tr>
      <w:tr>
        <w:tc>
          <w:tcPr>
            <w:tcW w:type="dxa" w:w="2160"/>
          </w:tcPr>
          <w:p>
            <w:r/>
            <w:r>
              <w:rPr>
                <w:b/>
                <w:sz w:val="17"/>
              </w:rPr>
              <w:t>Interfaz gráfica</w:t>
            </w:r>
          </w:p>
        </w:tc>
        <w:tc>
          <w:tcPr>
            <w:tcW w:type="dxa" w:w="2160"/>
          </w:tcPr>
          <w:p>
            <w:r/>
            <w:r>
              <w:rPr>
                <w:sz w:val="17"/>
              </w:rPr>
              <w:t>Configuración de la mayoría de funcionalidades vía interfaz gráfica, fácil de usar.</w:t>
            </w:r>
          </w:p>
        </w:tc>
        <w:tc>
          <w:tcPr>
            <w:tcW w:type="dxa" w:w="2160"/>
          </w:tcPr>
          <w:p>
            <w:r/>
            <w:r>
              <w:rPr>
                <w:b/>
                <w:color w:val="12805A"/>
                <w:sz w:val="17"/>
              </w:rPr>
              <w:t>Sí</w:t>
            </w:r>
          </w:p>
        </w:tc>
        <w:tc>
          <w:tcPr>
            <w:tcW w:type="dxa" w:w="2160"/>
          </w:tcPr>
          <w:p>
            <w:r/>
            <w:r>
              <w:rPr>
                <w:sz w:val="17"/>
              </w:rPr>
              <w:t>Consola SCP en HTML5, gestión unificada.</w:t>
            </w:r>
          </w:p>
        </w:tc>
      </w:tr>
      <w:tr>
        <w:tc>
          <w:tcPr>
            <w:tcW w:type="dxa" w:w="2160"/>
          </w:tcPr>
          <w:p>
            <w:r/>
            <w:r>
              <w:rPr>
                <w:b/>
                <w:sz w:val="17"/>
              </w:rPr>
              <w:t>Buenas prácticas</w:t>
            </w:r>
          </w:p>
        </w:tc>
        <w:tc>
          <w:tcPr>
            <w:tcW w:type="dxa" w:w="2160"/>
          </w:tcPr>
          <w:p>
            <w:r/>
            <w:r>
              <w:rPr>
                <w:sz w:val="17"/>
              </w:rPr>
              <w:t>Plan de migración sin pérdida de información, rollback, pruebas, ventanas de mantenimiento, documentación.</w:t>
            </w:r>
          </w:p>
        </w:tc>
        <w:tc>
          <w:tcPr>
            <w:tcW w:type="dxa" w:w="2160"/>
          </w:tcPr>
          <w:p>
            <w:r/>
            <w:r>
              <w:rPr>
                <w:b/>
                <w:color w:val="12805A"/>
                <w:sz w:val="17"/>
              </w:rPr>
              <w:t>Sí</w:t>
            </w:r>
          </w:p>
        </w:tc>
        <w:tc>
          <w:tcPr>
            <w:tcW w:type="dxa" w:w="2160"/>
          </w:tcPr>
          <w:p>
            <w:r/>
            <w:r>
              <w:rPr>
                <w:sz w:val="17"/>
              </w:rPr>
              <w:t>Plan de transición de 4 fases con punto de reversa en cada una — ver Solución técnica.</w:t>
            </w:r>
          </w:p>
        </w:tc>
      </w:tr>
      <w:tr>
        <w:tc>
          <w:tcPr>
            <w:tcW w:type="dxa" w:w="2160"/>
          </w:tcPr>
          <w:p>
            <w:r/>
            <w:r>
              <w:rPr>
                <w:b/>
                <w:sz w:val="17"/>
              </w:rPr>
              <w:t>Buenas prácticas</w:t>
            </w:r>
          </w:p>
        </w:tc>
        <w:tc>
          <w:tcPr>
            <w:tcW w:type="dxa" w:w="2160"/>
          </w:tcPr>
          <w:p>
            <w:r/>
            <w:r>
              <w:rPr>
                <w:sz w:val="17"/>
              </w:rPr>
              <w:t>Soporte vigente de fábrica durante el contrato, con NBD para hardware/software.</w:t>
            </w:r>
          </w:p>
        </w:tc>
        <w:tc>
          <w:tcPr>
            <w:tcW w:type="dxa" w:w="2160"/>
          </w:tcPr>
          <w:p>
            <w:r/>
            <w:r>
              <w:rPr>
                <w:b/>
                <w:color w:val="12805A"/>
                <w:sz w:val="17"/>
              </w:rPr>
              <w:t>Sí</w:t>
            </w:r>
          </w:p>
        </w:tc>
        <w:tc>
          <w:tcPr>
            <w:tcW w:type="dxa" w:w="2160"/>
          </w:tcPr>
          <w:p>
            <w:r/>
            <w:r>
              <w:rPr>
                <w:sz w:val="17"/>
              </w:rPr>
              <w:t>Garantía extendida HPE mínimo 3 años, reposición de partes al siguiente día hábil.</w:t>
            </w:r>
          </w:p>
        </w:tc>
      </w:tr>
      <w:tr>
        <w:tc>
          <w:tcPr>
            <w:tcW w:type="dxa" w:w="2160"/>
          </w:tcPr>
          <w:p>
            <w:r/>
            <w:r>
              <w:rPr>
                <w:b/>
                <w:sz w:val="17"/>
              </w:rPr>
              <w:t>Buenas prácticas</w:t>
            </w:r>
          </w:p>
        </w:tc>
        <w:tc>
          <w:tcPr>
            <w:tcW w:type="dxa" w:w="2160"/>
          </w:tcPr>
          <w:p>
            <w:r/>
            <w:r>
              <w:rPr>
                <w:sz w:val="17"/>
              </w:rPr>
              <w:t>Evaluación periódica de buenas prácticas de configuración.</w:t>
            </w:r>
          </w:p>
        </w:tc>
        <w:tc>
          <w:tcPr>
            <w:tcW w:type="dxa" w:w="2160"/>
          </w:tcPr>
          <w:p>
            <w:r/>
            <w:r>
              <w:rPr>
                <w:b/>
                <w:color w:val="12805A"/>
                <w:sz w:val="17"/>
              </w:rPr>
              <w:t>Sí</w:t>
            </w:r>
          </w:p>
        </w:tc>
        <w:tc>
          <w:tcPr>
            <w:tcW w:type="dxa" w:w="2160"/>
          </w:tcPr>
          <w:p>
            <w:r/>
            <w:r>
              <w:rPr>
                <w:sz w:val="17"/>
              </w:rPr>
              <w:t>Incluida como Fase 4 del plan de transición: auditoría técnica dentro de los primeros 3 meses de operación.</w:t>
            </w:r>
          </w:p>
        </w:tc>
      </w:tr>
      <w:tr>
        <w:tc>
          <w:tcPr>
            <w:tcW w:type="dxa" w:w="2160"/>
          </w:tcPr>
          <w:p>
            <w:r/>
            <w:r>
              <w:rPr>
                <w:b/>
                <w:sz w:val="17"/>
              </w:rPr>
              <w:t>Buenas prácticas</w:t>
            </w:r>
          </w:p>
        </w:tc>
        <w:tc>
          <w:tcPr>
            <w:tcW w:type="dxa" w:w="2160"/>
          </w:tcPr>
          <w:p>
            <w:r/>
            <w:r>
              <w:rPr>
                <w:sz w:val="17"/>
              </w:rPr>
              <w:t>Informe de recomendaciones técnicas de mejora continua tras la implementación.</w:t>
            </w:r>
          </w:p>
        </w:tc>
        <w:tc>
          <w:tcPr>
            <w:tcW w:type="dxa" w:w="2160"/>
          </w:tcPr>
          <w:p>
            <w:r/>
            <w:r>
              <w:rPr>
                <w:b/>
                <w:color w:val="12805A"/>
                <w:sz w:val="17"/>
              </w:rPr>
              <w:t>Sí</w:t>
            </w:r>
          </w:p>
        </w:tc>
        <w:tc>
          <w:tcPr>
            <w:tcW w:type="dxa" w:w="2160"/>
          </w:tcPr>
          <w:p>
            <w:r/>
            <w:r>
              <w:rPr>
                <w:sz w:val="17"/>
              </w:rPr>
              <w:t>Comprometido dentro de la Fase 4 del plan de transición, coordinado con la Dirección de Tecnología (OSIRIS).</w:t>
            </w:r>
          </w:p>
        </w:tc>
      </w:tr>
    </w:tbl>
    <w:p>
      <w:pPr>
        <w:pStyle w:val="Heading1"/>
      </w:pPr>
      <w:r>
        <w:rPr>
          <w:color w:val="08387F"/>
          <w:sz w:val="30"/>
        </w:rPr>
        <w:t>Requerimiento de calidad de costos y beneficios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08387F"/>
          </w:tcPr>
          <w:p>
            <w:r/>
            <w:r>
              <w:rPr>
                <w:b/>
                <w:color w:val="FFFFFF"/>
                <w:sz w:val="17"/>
              </w:rPr>
              <w:t>Atributo</w:t>
            </w:r>
          </w:p>
        </w:tc>
        <w:tc>
          <w:tcPr>
            <w:tcW w:type="dxa" w:w="2160"/>
            <w:shd w:fill="08387F"/>
          </w:tcPr>
          <w:p>
            <w:r/>
            <w:r>
              <w:rPr>
                <w:b/>
                <w:color w:val="FFFFFF"/>
                <w:sz w:val="17"/>
              </w:rPr>
              <w:t>Descripción del requerimiento</w:t>
            </w:r>
          </w:p>
        </w:tc>
        <w:tc>
          <w:tcPr>
            <w:tcW w:type="dxa" w:w="2160"/>
            <w:shd w:fill="08387F"/>
          </w:tcPr>
          <w:p>
            <w:r/>
            <w:r>
              <w:rPr>
                <w:b/>
                <w:color w:val="FFFFFF"/>
                <w:sz w:val="17"/>
              </w:rPr>
              <w:t>Cumple</w:t>
            </w:r>
          </w:p>
        </w:tc>
        <w:tc>
          <w:tcPr>
            <w:tcW w:type="dxa" w:w="2160"/>
            <w:shd w:fill="08387F"/>
          </w:tcPr>
          <w:p>
            <w:r/>
            <w:r>
              <w:rPr>
                <w:b/>
                <w:color w:val="FFFFFF"/>
                <w:sz w:val="17"/>
              </w:rPr>
              <w:t>Cómo cumple / observación</w:t>
            </w:r>
          </w:p>
        </w:tc>
      </w:tr>
      <w:tr>
        <w:tc>
          <w:tcPr>
            <w:tcW w:type="dxa" w:w="2160"/>
          </w:tcPr>
          <w:p>
            <w:r/>
            <w:r>
              <w:rPr>
                <w:b/>
                <w:sz w:val="17"/>
              </w:rPr>
              <w:t>Propuesta CAPEX/OPEX</w:t>
            </w:r>
          </w:p>
        </w:tc>
        <w:tc>
          <w:tcPr>
            <w:tcW w:type="dxa" w:w="2160"/>
          </w:tcPr>
          <w:p>
            <w:r/>
            <w:r>
              <w:rPr>
                <w:sz w:val="17"/>
              </w:rPr>
              <w:t>Presentar propuesta discriminada en CAPEX y OPEX.</w:t>
            </w:r>
          </w:p>
        </w:tc>
        <w:tc>
          <w:tcPr>
            <w:tcW w:type="dxa" w:w="2160"/>
          </w:tcPr>
          <w:p>
            <w:r/>
            <w:r>
              <w:rPr>
                <w:b/>
                <w:color w:val="12805A"/>
                <w:sz w:val="17"/>
              </w:rPr>
              <w:t>Sí</w:t>
            </w:r>
          </w:p>
        </w:tc>
        <w:tc>
          <w:tcPr>
            <w:tcW w:type="dxa" w:w="2160"/>
          </w:tcPr>
          <w:p>
            <w:r/>
            <w:r>
              <w:rPr>
                <w:sz w:val="17"/>
              </w:rPr>
              <w:t>Estructura de costos discriminada disponible; cifras económicas en el Anexo 2 / documento comercial reservado.</w:t>
            </w:r>
          </w:p>
        </w:tc>
      </w:tr>
      <w:tr>
        <w:tc>
          <w:tcPr>
            <w:tcW w:type="dxa" w:w="2160"/>
          </w:tcPr>
          <w:p>
            <w:r/>
            <w:r>
              <w:rPr>
                <w:b/>
                <w:sz w:val="17"/>
              </w:rPr>
              <w:t>Tiempos de migración</w:t>
            </w:r>
          </w:p>
        </w:tc>
        <w:tc>
          <w:tcPr>
            <w:tcW w:type="dxa" w:w="2160"/>
          </w:tcPr>
          <w:p>
            <w:r/>
            <w:r>
              <w:rPr>
                <w:sz w:val="17"/>
              </w:rPr>
              <w:t>Indicar tiempos de migración y herramientas necesarias.</w:t>
            </w:r>
          </w:p>
        </w:tc>
        <w:tc>
          <w:tcPr>
            <w:tcW w:type="dxa" w:w="2160"/>
          </w:tcPr>
          <w:p>
            <w:r/>
            <w:r>
              <w:rPr>
                <w:b/>
                <w:color w:val="12805A"/>
                <w:sz w:val="17"/>
              </w:rPr>
              <w:t>Sí</w:t>
            </w:r>
          </w:p>
        </w:tc>
        <w:tc>
          <w:tcPr>
            <w:tcW w:type="dxa" w:w="2160"/>
          </w:tcPr>
          <w:p>
            <w:r/>
            <w:r>
              <w:rPr>
                <w:sz w:val="17"/>
              </w:rPr>
              <w:t>Cronograma de migración por fases documentado en el plan de transición.</w:t>
            </w:r>
          </w:p>
        </w:tc>
      </w:tr>
      <w:tr>
        <w:tc>
          <w:tcPr>
            <w:tcW w:type="dxa" w:w="2160"/>
          </w:tcPr>
          <w:p>
            <w:r/>
            <w:r>
              <w:rPr>
                <w:b/>
                <w:sz w:val="17"/>
              </w:rPr>
              <w:t>Documentación completa</w:t>
            </w:r>
          </w:p>
        </w:tc>
        <w:tc>
          <w:tcPr>
            <w:tcW w:type="dxa" w:w="2160"/>
          </w:tcPr>
          <w:p>
            <w:r/>
            <w:r>
              <w:rPr>
                <w:sz w:val="17"/>
              </w:rPr>
              <w:t>Arquitectura, componentes, bases de datos, diccionarios, manuales, guías de configuración y uso.</w:t>
            </w:r>
          </w:p>
        </w:tc>
        <w:tc>
          <w:tcPr>
            <w:tcW w:type="dxa" w:w="2160"/>
          </w:tcPr>
          <w:p>
            <w:r/>
            <w:r>
              <w:rPr>
                <w:b/>
                <w:color w:val="12805A"/>
                <w:sz w:val="17"/>
              </w:rPr>
              <w:t>Sí</w:t>
            </w:r>
          </w:p>
        </w:tc>
        <w:tc>
          <w:tcPr>
            <w:tcW w:type="dxa" w:w="2160"/>
          </w:tcPr>
          <w:p>
            <w:r/>
            <w:r>
              <w:rPr>
                <w:sz w:val="17"/>
              </w:rPr>
              <w:t>Comprometido como entregable de cierre del proyecto (Fase 4 del plan de transición).</w:t>
            </w:r>
          </w:p>
        </w:tc>
      </w:tr>
      <w:tr>
        <w:tc>
          <w:tcPr>
            <w:tcW w:type="dxa" w:w="2160"/>
          </w:tcPr>
          <w:p>
            <w:r/>
            <w:r>
              <w:rPr>
                <w:b/>
                <w:sz w:val="17"/>
              </w:rPr>
              <w:t>Garantías — soporte NBD/5x8</w:t>
            </w:r>
          </w:p>
        </w:tc>
        <w:tc>
          <w:tcPr>
            <w:tcW w:type="dxa" w:w="2160"/>
          </w:tcPr>
          <w:p>
            <w:r/>
            <w:r>
              <w:rPr>
                <w:sz w:val="17"/>
              </w:rPr>
              <w:t>Soporte vigente de fábrica con NBD para hardware y 5x8 para servicio.</w:t>
            </w:r>
          </w:p>
        </w:tc>
        <w:tc>
          <w:tcPr>
            <w:tcW w:type="dxa" w:w="2160"/>
          </w:tcPr>
          <w:p>
            <w:r/>
            <w:r>
              <w:rPr>
                <w:b/>
                <w:color w:val="12805A"/>
                <w:sz w:val="17"/>
              </w:rPr>
              <w:t>Sí</w:t>
            </w:r>
          </w:p>
        </w:tc>
        <w:tc>
          <w:tcPr>
            <w:tcW w:type="dxa" w:w="2160"/>
          </w:tcPr>
          <w:p>
            <w:r/>
            <w:r>
              <w:rPr>
                <w:sz w:val="17"/>
              </w:rPr>
              <w:t>Reposición de partes NBD (HPE) y soporte 5x8 para incidentes mecánicos, 24/7 para la plataforma lógica.</w:t>
            </w:r>
          </w:p>
        </w:tc>
      </w:tr>
      <w:tr>
        <w:tc>
          <w:tcPr>
            <w:tcW w:type="dxa" w:w="2160"/>
          </w:tcPr>
          <w:p>
            <w:r/>
            <w:r>
              <w:rPr>
                <w:b/>
                <w:sz w:val="17"/>
              </w:rPr>
              <w:t>Garantías — duración</w:t>
            </w:r>
          </w:p>
        </w:tc>
        <w:tc>
          <w:tcPr>
            <w:tcW w:type="dxa" w:w="2160"/>
          </w:tcPr>
          <w:p>
            <w:r/>
            <w:r>
              <w:rPr>
                <w:sz w:val="17"/>
              </w:rPr>
              <w:t>Garantía mínima de 3 años con posibilidad de extensión.</w:t>
            </w:r>
          </w:p>
        </w:tc>
        <w:tc>
          <w:tcPr>
            <w:tcW w:type="dxa" w:w="2160"/>
          </w:tcPr>
          <w:p>
            <w:r/>
            <w:r>
              <w:rPr>
                <w:b/>
                <w:color w:val="12805A"/>
                <w:sz w:val="17"/>
              </w:rPr>
              <w:t>Sí</w:t>
            </w:r>
          </w:p>
        </w:tc>
        <w:tc>
          <w:tcPr>
            <w:tcW w:type="dxa" w:w="2160"/>
          </w:tcPr>
          <w:p>
            <w:r/>
            <w:r>
              <w:rPr>
                <w:sz w:val="17"/>
              </w:rPr>
              <w:t>Garantía extendida HPE de mínimo 3 años, respaldada directamente por el fabricante.</w:t>
            </w:r>
          </w:p>
        </w:tc>
      </w:tr>
      <w:tr>
        <w:tc>
          <w:tcPr>
            <w:tcW w:type="dxa" w:w="2160"/>
          </w:tcPr>
          <w:p>
            <w:r/>
            <w:r>
              <w:rPr>
                <w:b/>
                <w:sz w:val="17"/>
              </w:rPr>
              <w:t>Valores agregados</w:t>
            </w:r>
          </w:p>
        </w:tc>
        <w:tc>
          <w:tcPr>
            <w:tcW w:type="dxa" w:w="2160"/>
          </w:tcPr>
          <w:p>
            <w:r/>
            <w:r>
              <w:rPr>
                <w:sz w:val="17"/>
              </w:rPr>
              <w:t>Discriminar claramente los valores agregados de la oferta.</w:t>
            </w:r>
          </w:p>
        </w:tc>
        <w:tc>
          <w:tcPr>
            <w:tcW w:type="dxa" w:w="2160"/>
          </w:tcPr>
          <w:p>
            <w:r/>
            <w:r>
              <w:rPr>
                <w:b/>
                <w:color w:val="12805A"/>
                <w:sz w:val="17"/>
              </w:rPr>
              <w:t>Sí</w:t>
            </w:r>
          </w:p>
        </w:tc>
        <w:tc>
          <w:tcPr>
            <w:tcW w:type="dxa" w:w="2160"/>
          </w:tcPr>
          <w:p>
            <w:r/>
            <w:r>
              <w:rPr>
                <w:sz w:val="17"/>
              </w:rPr>
              <w:t>SkyOps (monitoreo con IA), backup nativo incluido, certificaciones sin costo para el sector educativo.</w:t>
            </w:r>
          </w:p>
        </w:tc>
      </w:tr>
      <w:tr>
        <w:tc>
          <w:tcPr>
            <w:tcW w:type="dxa" w:w="2160"/>
          </w:tcPr>
          <w:p>
            <w:r/>
            <w:r>
              <w:rPr>
                <w:b/>
                <w:sz w:val="17"/>
              </w:rPr>
              <w:t>Curso formal certificado</w:t>
            </w:r>
          </w:p>
        </w:tc>
        <w:tc>
          <w:tcPr>
            <w:tcW w:type="dxa" w:w="2160"/>
          </w:tcPr>
          <w:p>
            <w:r/>
            <w:r>
              <w:rPr>
                <w:sz w:val="17"/>
              </w:rPr>
              <w:t>Capacitación formal para mínimo 2 personas, con o sin voucher de certificación.</w:t>
            </w:r>
          </w:p>
        </w:tc>
        <w:tc>
          <w:tcPr>
            <w:tcW w:type="dxa" w:w="2160"/>
          </w:tcPr>
          <w:p>
            <w:r/>
            <w:r>
              <w:rPr>
                <w:b/>
                <w:color w:val="A32F2F"/>
                <w:sz w:val="17"/>
              </w:rPr>
              <w:t>Pendiente</w:t>
            </w:r>
          </w:p>
        </w:tc>
        <w:tc>
          <w:tcPr>
            <w:tcW w:type="dxa" w:w="2160"/>
          </w:tcPr>
          <w:p>
            <w:r/>
            <w:r>
              <w:rPr>
                <w:sz w:val="17"/>
              </w:rPr>
              <w:t>Por confirmar con Sangfor/EVOCOM el alcance exacto de la capacitación y si incluye voucher de certificación — se confirmará antes de la propuesta final del 16-sep.</w:t>
            </w:r>
          </w:p>
        </w:tc>
      </w:tr>
      <w:tr>
        <w:tc>
          <w:tcPr>
            <w:tcW w:type="dxa" w:w="2160"/>
          </w:tcPr>
          <w:p>
            <w:r/>
            <w:r>
              <w:rPr>
                <w:b/>
                <w:sz w:val="17"/>
              </w:rPr>
              <w:t>Licenciamiento educativo</w:t>
            </w:r>
          </w:p>
        </w:tc>
        <w:tc>
          <w:tcPr>
            <w:tcW w:type="dxa" w:w="2160"/>
          </w:tcPr>
          <w:p>
            <w:r/>
            <w:r>
              <w:rPr>
                <w:sz w:val="17"/>
              </w:rPr>
              <w:t>Licenciamiento específico o beneficio para entidades educativas.</w:t>
            </w:r>
          </w:p>
        </w:tc>
        <w:tc>
          <w:tcPr>
            <w:tcW w:type="dxa" w:w="2160"/>
          </w:tcPr>
          <w:p>
            <w:r/>
            <w:r>
              <w:rPr>
                <w:b/>
                <w:color w:val="12805A"/>
                <w:sz w:val="17"/>
              </w:rPr>
              <w:t>Sí</w:t>
            </w:r>
          </w:p>
        </w:tc>
        <w:tc>
          <w:tcPr>
            <w:tcW w:type="dxa" w:w="2160"/>
          </w:tcPr>
          <w:p>
            <w:r/>
            <w:r>
              <w:rPr>
                <w:sz w:val="17"/>
              </w:rPr>
              <w:t>Sangfor ofrece certificaciones sin costo adicional para instituciones del sector educativo.</w:t>
            </w:r>
          </w:p>
        </w:tc>
      </w:tr>
      <w:tr>
        <w:tc>
          <w:tcPr>
            <w:tcW w:type="dxa" w:w="2160"/>
          </w:tcPr>
          <w:p>
            <w:r/>
            <w:r>
              <w:rPr>
                <w:b/>
                <w:sz w:val="17"/>
              </w:rPr>
              <w:t>Plan de implementación</w:t>
            </w:r>
          </w:p>
        </w:tc>
        <w:tc>
          <w:tcPr>
            <w:tcW w:type="dxa" w:w="2160"/>
          </w:tcPr>
          <w:p>
            <w:r/>
            <w:r>
              <w:rPr>
                <w:sz w:val="17"/>
              </w:rPr>
              <w:t>Plan detallado acorde a la arquitectura expuesta en las reuniones de acercamiento.</w:t>
            </w:r>
          </w:p>
        </w:tc>
        <w:tc>
          <w:tcPr>
            <w:tcW w:type="dxa" w:w="2160"/>
          </w:tcPr>
          <w:p>
            <w:r/>
            <w:r>
              <w:rPr>
                <w:b/>
                <w:color w:val="12805A"/>
                <w:sz w:val="17"/>
              </w:rPr>
              <w:t>Sí</w:t>
            </w:r>
          </w:p>
        </w:tc>
        <w:tc>
          <w:tcPr>
            <w:tcW w:type="dxa" w:w="2160"/>
          </w:tcPr>
          <w:p>
            <w:r/>
            <w:r>
              <w:rPr>
                <w:sz w:val="17"/>
              </w:rPr>
              <w:t>Plan de transición de 4 fases, con ventanas de mantenimiento coordinadas con la Dirección de Tecnología.</w:t>
            </w:r>
          </w:p>
        </w:tc>
      </w:tr>
      <w:tr>
        <w:tc>
          <w:tcPr>
            <w:tcW w:type="dxa" w:w="2160"/>
          </w:tcPr>
          <w:p>
            <w:r/>
            <w:r>
              <w:rPr>
                <w:b/>
                <w:sz w:val="17"/>
              </w:rPr>
              <w:t>Crecimiento de la solución</w:t>
            </w:r>
          </w:p>
        </w:tc>
        <w:tc>
          <w:tcPr>
            <w:tcW w:type="dxa" w:w="2160"/>
          </w:tcPr>
          <w:p>
            <w:r/>
            <w:r>
              <w:rPr>
                <w:sz w:val="17"/>
              </w:rPr>
              <w:t>Dimensionada para crecimiento del 25% al 40% en 5 años.</w:t>
            </w:r>
          </w:p>
        </w:tc>
        <w:tc>
          <w:tcPr>
            <w:tcW w:type="dxa" w:w="2160"/>
          </w:tcPr>
          <w:p>
            <w:r/>
            <w:r>
              <w:rPr>
                <w:b/>
                <w:color w:val="12805A"/>
                <w:sz w:val="17"/>
              </w:rPr>
              <w:t>Sí</w:t>
            </w:r>
          </w:p>
        </w:tc>
        <w:tc>
          <w:tcPr>
            <w:tcW w:type="dxa" w:w="2160"/>
          </w:tcPr>
          <w:p>
            <w:r/>
            <w:r>
              <w:rPr>
                <w:sz w:val="17"/>
              </w:rPr>
              <w:t>Holgura de crecimiento confirmada dentro de ese rango, sin reinversión estructural.</w:t>
            </w:r>
          </w:p>
        </w:tc>
      </w:tr>
      <w:tr>
        <w:tc>
          <w:tcPr>
            <w:tcW w:type="dxa" w:w="2160"/>
          </w:tcPr>
          <w:p>
            <w:r/>
            <w:r>
              <w:rPr>
                <w:b/>
                <w:sz w:val="17"/>
              </w:rPr>
              <w:t>Compatibilidad firewall</w:t>
            </w:r>
          </w:p>
        </w:tc>
        <w:tc>
          <w:tcPr>
            <w:tcW w:type="dxa" w:w="2160"/>
          </w:tcPr>
          <w:p>
            <w:r/>
            <w:r>
              <w:rPr>
                <w:sz w:val="17"/>
              </w:rPr>
              <w:t>Compatible con la infraestructura de seguridad actual (Checkpoint 9300).</w:t>
            </w:r>
          </w:p>
        </w:tc>
        <w:tc>
          <w:tcPr>
            <w:tcW w:type="dxa" w:w="2160"/>
          </w:tcPr>
          <w:p>
            <w:r/>
            <w:r>
              <w:rPr>
                <w:b/>
                <w:color w:val="12805A"/>
                <w:sz w:val="17"/>
              </w:rPr>
              <w:t>Sí</w:t>
            </w:r>
          </w:p>
        </w:tc>
        <w:tc>
          <w:tcPr>
            <w:tcW w:type="dxa" w:w="2160"/>
          </w:tcPr>
          <w:p>
            <w:r/>
            <w:r>
              <w:rPr>
                <w:sz w:val="17"/>
              </w:rPr>
              <w:t>El firewall Checkpoint 9300 se mantiene sin cambios como punto único de salida hacia la red institucional.</w:t>
            </w:r>
          </w:p>
        </w:tc>
      </w:tr>
      <w:tr>
        <w:tc>
          <w:tcPr>
            <w:tcW w:type="dxa" w:w="2160"/>
          </w:tcPr>
          <w:p>
            <w:r/>
            <w:r>
              <w:rPr>
                <w:b/>
                <w:sz w:val="17"/>
              </w:rPr>
              <w:t>Necesidades — componentes</w:t>
            </w:r>
          </w:p>
        </w:tc>
        <w:tc>
          <w:tcPr>
            <w:tcW w:type="dxa" w:w="2160"/>
          </w:tcPr>
          <w:p>
            <w:r/>
            <w:r>
              <w:rPr>
                <w:sz w:val="17"/>
              </w:rPr>
              <w:t>Ofrecer todos los componentes necesarios para operación correcta.</w:t>
            </w:r>
          </w:p>
        </w:tc>
        <w:tc>
          <w:tcPr>
            <w:tcW w:type="dxa" w:w="2160"/>
          </w:tcPr>
          <w:p>
            <w:r/>
            <w:r>
              <w:rPr>
                <w:b/>
                <w:color w:val="12805A"/>
                <w:sz w:val="17"/>
              </w:rPr>
              <w:t>Sí</w:t>
            </w:r>
          </w:p>
        </w:tc>
        <w:tc>
          <w:tcPr>
            <w:tcW w:type="dxa" w:w="2160"/>
          </w:tcPr>
          <w:p>
            <w:r/>
            <w:r>
              <w:rPr>
                <w:sz w:val="17"/>
              </w:rPr>
              <w:t>Todos los componentes de cómputo, red y almacenamiento incluidos en la propuesta.</w:t>
            </w:r>
          </w:p>
        </w:tc>
      </w:tr>
      <w:tr>
        <w:tc>
          <w:tcPr>
            <w:tcW w:type="dxa" w:w="2160"/>
          </w:tcPr>
          <w:p>
            <w:r/>
            <w:r>
              <w:rPr>
                <w:b/>
                <w:sz w:val="17"/>
              </w:rPr>
              <w:t>Necesidades del proponente</w:t>
            </w:r>
          </w:p>
        </w:tc>
        <w:tc>
          <w:tcPr>
            <w:tcW w:type="dxa" w:w="2160"/>
          </w:tcPr>
          <w:p>
            <w:r/>
            <w:r>
              <w:rPr>
                <w:sz w:val="17"/>
              </w:rPr>
              <w:t>Informar necesidades de espacio (U de rack), red (dispositivos ópticos) y eléctricas.</w:t>
            </w:r>
          </w:p>
        </w:tc>
        <w:tc>
          <w:tcPr>
            <w:tcW w:type="dxa" w:w="2160"/>
          </w:tcPr>
          <w:p>
            <w:r/>
            <w:r>
              <w:rPr>
                <w:b/>
                <w:color w:val="A32F2F"/>
                <w:sz w:val="17"/>
              </w:rPr>
              <w:t>Pendiente</w:t>
            </w:r>
          </w:p>
        </w:tc>
        <w:tc>
          <w:tcPr>
            <w:tcW w:type="dxa" w:w="2160"/>
          </w:tcPr>
          <w:p>
            <w:r/>
            <w:r>
              <w:rPr>
                <w:sz w:val="17"/>
              </w:rPr>
              <w:t>Requiere visita técnica o validación final del diagrama físico del rack junto con la Dirección de Tecnología antes de la implementación — no bloqueante para la propuesta técnica del 7-sep.</w:t>
            </w:r>
          </w:p>
        </w:tc>
      </w:tr>
    </w:tbl>
    <w:p>
      <w:r>
        <w:br w:type="page"/>
      </w:r>
    </w:p>
    <w:p>
      <w:pPr>
        <w:pStyle w:val="Heading1"/>
      </w:pPr>
      <w:r>
        <w:rPr>
          <w:color w:val="08387F"/>
          <w:sz w:val="30"/>
        </w:rPr>
        <w:t>Resumen de alertas de este Anexo</w:t>
      </w:r>
    </w:p>
    <w:p>
      <w:r>
        <w:rPr>
          <w:b/>
          <w:i w:val="0"/>
          <w:sz w:val="20"/>
        </w:rPr>
        <w:t>Ítems marcados como 'Parcialmente' o 'Pendiente' que requieren atención antes de radicar la propuesta final (16-sep) o durante la implementación:</w:t>
      </w:r>
    </w:p>
    <w:p>
      <w:pPr>
        <w:pStyle w:val="ListBullet"/>
      </w:pPr>
      <w:r>
        <w:rPr>
          <w:color w:val="B4560D"/>
          <w:sz w:val="20"/>
        </w:rPr>
        <w:t>Tarjetas de red: confirmar con Cydesys la cantidad exacta de puertos por servidor para garantizar el mínimo de 6 exigido por el TdR.</w:t>
      </w:r>
    </w:p>
    <w:p>
      <w:pPr>
        <w:pStyle w:val="ListBullet"/>
      </w:pPr>
      <w:r>
        <w:rPr>
          <w:color w:val="B4560D"/>
          <w:sz w:val="20"/>
        </w:rPr>
        <w:t>Almacenamiento distribuido / RAID distribuido: la cabina SAN externa usa RAID tradicional, no distribuido — coherente con el alcance de solo-virtualización confirmado por la ECI, pero declarado con transparencia.</w:t>
      </w:r>
    </w:p>
    <w:p>
      <w:pPr>
        <w:pStyle w:val="ListBullet"/>
      </w:pPr>
      <w:r>
        <w:rPr>
          <w:color w:val="B4560D"/>
          <w:sz w:val="20"/>
        </w:rPr>
        <w:t>Gestión de contenedores: disponible en la plataforma Sangfor (KubeManager) pero fuera del alcance contratado en esta fase.</w:t>
      </w:r>
    </w:p>
    <w:p>
      <w:pPr>
        <w:pStyle w:val="ListBullet"/>
      </w:pPr>
      <w:r>
        <w:rPr>
          <w:color w:val="B4560D"/>
          <w:sz w:val="20"/>
        </w:rPr>
        <w:t>Clasificación Gartner de Sangfor: no es 'Líder' en el cuadrante global de HCI — se declara con transparencia; HPE sí cumple sin ambigüedad.</w:t>
      </w:r>
    </w:p>
    <w:p>
      <w:pPr>
        <w:pStyle w:val="ListBullet"/>
      </w:pPr>
      <w:r>
        <w:rPr>
          <w:color w:val="B4560D"/>
          <w:sz w:val="20"/>
        </w:rPr>
        <w:t>Deseables de software (API REST, Terraform, Ansible): pendientes de confirmar con Sangfor/EVOCOM.</w:t>
      </w:r>
    </w:p>
    <w:p>
      <w:pPr>
        <w:pStyle w:val="ListBullet"/>
      </w:pPr>
      <w:r>
        <w:rPr>
          <w:color w:val="B4560D"/>
          <w:sz w:val="20"/>
        </w:rPr>
        <w:t>Curso formal certificado: alcance exacto y vouchers pendientes de confirmar con Sangfor/EVOCOM.</w:t>
      </w:r>
    </w:p>
    <w:p>
      <w:pPr>
        <w:pStyle w:val="ListBullet"/>
      </w:pPr>
      <w:r>
        <w:rPr>
          <w:color w:val="B4560D"/>
          <w:sz w:val="20"/>
        </w:rPr>
        <w:t>Necesidades físicas del proponente (rack, red, eléctrico): pendiente de visita técnica final con OSIRIS.</w:t>
      </w:r>
    </w:p>
    <w:p/>
    <w:p>
      <w:r>
        <w:rPr>
          <w:i/>
          <w:color w:val="42506B"/>
          <w:sz w:val="17"/>
        </w:rPr>
        <w:t>Blue Label Technologies · Cyberware S.A.S. (Cydesys) — Anexo 4 diligenciado el 6 de septiembre de 2026, para radicar junto con la propuesta técnica del 7 de septiembre de 2026 ante la Escuela Colombiana de Ingeniería Julio Garavito.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