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ED7"/>
          <w:sz w:val="20"/>
        </w:rPr>
        <w:t>BLUE LABEL TECHNOLOGIES · CYDESYS</w:t>
      </w:r>
    </w:p>
    <w:p>
      <w:pPr>
        <w:jc w:val="center"/>
      </w:pPr>
      <w:r>
        <w:rPr>
          <w:b/>
          <w:color w:val="0B1220"/>
          <w:sz w:val="44"/>
        </w:rPr>
        <w:t>Checklist de Cierre — Propuesta ECI</w:t>
      </w:r>
    </w:p>
    <w:p>
      <w:pPr>
        <w:jc w:val="center"/>
      </w:pPr>
      <w:r>
        <w:rPr>
          <w:color w:val="42506B"/>
          <w:sz w:val="25"/>
        </w:rPr>
        <w:t>Qué falta para radicar la propuesta técnica y económica completa — Escuela Colombiana de Ingeniería Julio Garavito</w:t>
      </w:r>
    </w:p>
    <w:p>
      <w:pPr>
        <w:jc w:val="center"/>
      </w:pPr>
      <w:r>
        <w:rPr>
          <w:i/>
          <w:color w:val="42506B"/>
          <w:sz w:val="19"/>
        </w:rPr>
        <w:t>Actualizado el 5 de septiembre de 2026, tras integrar la arquitectura Sangfor + Cydesys (HPE) en la presentación técnica final. Fecha límite de envío de la propuesta técnica: 7 de septiembre de 2026, 12:00 pm.</w:t>
      </w:r>
    </w:p>
    <w:p/>
    <w:p>
      <w:pPr>
        <w:pStyle w:val="Heading1"/>
      </w:pPr>
      <w:r>
        <w:rPr>
          <w:b/>
          <w:color w:val="08387F"/>
          <w:sz w:val="30"/>
        </w:rPr>
        <w:t>Cumplimiento para la entrega del 7 de septiembre</w:t>
      </w:r>
    </w:p>
    <w:p>
      <w:r>
        <w:rPr>
          <w:i w:val="0"/>
          <w:color w:val="42506B"/>
          <w:sz w:val="19"/>
        </w:rPr>
        <w:t>El TdR exige para esta fecha el envío de la “propuesta técnica (arquitectura y modelo ofertado)”. Ese componente está resuelto. El riesgo real está en si el TdR también exige los habilitantes jurídicos/financieros junto con la técnica — validar esto es la primera acción del día.</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b/>
                <w:color w:val="12805A"/>
                <w:sz w:val="56"/>
              </w:rPr>
              <w:t>100%</w:t>
            </w:r>
          </w:p>
          <w:p>
            <w:pPr>
              <w:jc w:val="center"/>
            </w:pPr>
            <w:r>
              <w:rPr>
                <w:color w:val="42506B"/>
                <w:sz w:val="17"/>
              </w:rPr>
              <w:t>Contenido técnico y arquitectura</w:t>
              <w:br/>
              <w:t>(listo para el 7-sep)</w:t>
            </w:r>
          </w:p>
        </w:tc>
        <w:tc>
          <w:tcPr>
            <w:tcW w:type="dxa" w:w="3249"/>
          </w:tcPr>
          <w:p>
            <w:pPr>
              <w:jc w:val="center"/>
            </w:pPr>
            <w:r/>
            <w:r>
              <w:rPr>
                <w:b/>
                <w:color w:val="A32F2F"/>
                <w:sz w:val="56"/>
              </w:rPr>
              <w:t>~15%</w:t>
            </w:r>
          </w:p>
          <w:p>
            <w:pPr>
              <w:jc w:val="center"/>
            </w:pPr>
            <w:r>
              <w:rPr>
                <w:color w:val="42506B"/>
                <w:sz w:val="17"/>
              </w:rPr>
              <w:t>Habilitantes jurídicos,</w:t>
              <w:br/>
              <w:t>financieros y comerciales</w:t>
            </w:r>
          </w:p>
        </w:tc>
        <w:tc>
          <w:tcPr>
            <w:tcW w:type="dxa" w:w="3249"/>
          </w:tcPr>
          <w:p>
            <w:pPr>
              <w:jc w:val="center"/>
            </w:pPr>
            <w:r/>
            <w:r>
              <w:rPr>
                <w:b/>
                <w:color w:val="0B5ED7"/>
                <w:sz w:val="56"/>
              </w:rPr>
              <w:t>~60%</w:t>
            </w:r>
          </w:p>
          <w:p>
            <w:pPr>
              <w:jc w:val="center"/>
            </w:pPr>
            <w:r>
              <w:rPr>
                <w:color w:val="42506B"/>
                <w:sz w:val="17"/>
              </w:rPr>
              <w:t>Cumplimiento global ponderado</w:t>
              <w:br/>
              <w:t>para la fecha límite</w:t>
            </w:r>
          </w:p>
        </w:tc>
      </w:tr>
    </w:tbl>
    <w:p/>
    <w:p>
      <w:r>
        <w:rPr>
          <w:i/>
          <w:color w:val="42506B"/>
          <w:sz w:val="18"/>
        </w:rPr>
        <w:t>El 60% global pondera más el contenido técnico (lo que el TdR pide explícitamente para el 7-sep) que los habilitantes (que probablemente aplican al cierre del 16-sep, pero conviene confirmarlo con la ECI o el TdR para no arriesgar nada).</w:t>
      </w:r>
    </w:p>
    <w:p>
      <w:r>
        <w:br w:type="page"/>
      </w:r>
    </w:p>
    <w:p>
      <w:pPr>
        <w:pStyle w:val="Heading1"/>
      </w:pPr>
      <w:r>
        <w:rPr>
          <w:b/>
          <w:color w:val="08387F"/>
          <w:sz w:val="30"/>
        </w:rPr>
        <w:t>Resumen ejecutivo por categoría</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DCE6F5"/>
          </w:tcPr>
          <w:p>
            <w:r/>
            <w:r>
              <w:rPr>
                <w:b/>
                <w:color w:val="08387F"/>
                <w:sz w:val="18"/>
              </w:rPr>
              <w:t>Categoría</w:t>
            </w:r>
          </w:p>
        </w:tc>
        <w:tc>
          <w:tcPr>
            <w:tcW w:type="dxa" w:w="3515"/>
            <w:shd w:val="clear" w:color="auto" w:fill="DCE6F5"/>
          </w:tcPr>
          <w:p>
            <w:r/>
            <w:r>
              <w:rPr>
                <w:b/>
                <w:color w:val="08387F"/>
                <w:sz w:val="18"/>
              </w:rPr>
              <w:t>Estado</w:t>
            </w:r>
          </w:p>
        </w:tc>
        <w:tc>
          <w:tcPr>
            <w:tcW w:type="dxa" w:w="1701"/>
            <w:shd w:val="clear" w:color="auto" w:fill="DCE6F5"/>
          </w:tcPr>
          <w:p>
            <w:r/>
            <w:r>
              <w:rPr>
                <w:b/>
                <w:color w:val="08387F"/>
                <w:sz w:val="18"/>
              </w:rPr>
              <w:t>Bloqueante para 7-sep</w:t>
            </w:r>
          </w:p>
        </w:tc>
      </w:tr>
      <w:tr>
        <w:tc>
          <w:tcPr>
            <w:tcW w:type="dxa" w:w="3969"/>
          </w:tcPr>
          <w:p>
            <w:r/>
            <w:r>
              <w:rPr>
                <w:b w:val="0"/>
                <w:sz w:val="18"/>
              </w:rPr>
              <w:t>Arquitectura técnica integrada (Sangfor + Cydesys HPE)</w:t>
            </w:r>
          </w:p>
        </w:tc>
        <w:tc>
          <w:tcPr>
            <w:tcW w:type="dxa" w:w="3515"/>
          </w:tcPr>
          <w:p>
            <w:r/>
            <w:r>
              <w:rPr>
                <w:b w:val="0"/>
                <w:sz w:val="18"/>
              </w:rPr>
              <w:t>Listo — presentación técnica final consolidada</w:t>
            </w:r>
          </w:p>
        </w:tc>
        <w:tc>
          <w:tcPr>
            <w:tcW w:type="dxa" w:w="1701"/>
          </w:tcPr>
          <w:p>
            <w:r/>
            <w:r>
              <w:rPr>
                <w:b w:val="0"/>
                <w:sz w:val="18"/>
              </w:rPr>
              <w:t>No</w:t>
            </w:r>
          </w:p>
        </w:tc>
      </w:tr>
      <w:tr>
        <w:tc>
          <w:tcPr>
            <w:tcW w:type="dxa" w:w="3969"/>
          </w:tcPr>
          <w:p>
            <w:r/>
            <w:r>
              <w:rPr>
                <w:b w:val="0"/>
                <w:sz w:val="18"/>
              </w:rPr>
              <w:t>Cotización de hardware (Opción A HPE / Opción B Dell)</w:t>
            </w:r>
          </w:p>
        </w:tc>
        <w:tc>
          <w:tcPr>
            <w:tcW w:type="dxa" w:w="3515"/>
          </w:tcPr>
          <w:p>
            <w:r/>
            <w:r>
              <w:rPr>
                <w:b w:val="0"/>
                <w:sz w:val="18"/>
              </w:rPr>
              <w:t>Listo — dos rutas cotizadas y comparadas</w:t>
            </w:r>
          </w:p>
        </w:tc>
        <w:tc>
          <w:tcPr>
            <w:tcW w:type="dxa" w:w="1701"/>
          </w:tcPr>
          <w:p>
            <w:r/>
            <w:r>
              <w:rPr>
                <w:b w:val="0"/>
                <w:sz w:val="18"/>
              </w:rPr>
              <w:t>No</w:t>
            </w:r>
          </w:p>
        </w:tc>
      </w:tr>
      <w:tr>
        <w:tc>
          <w:tcPr>
            <w:tcW w:type="dxa" w:w="3969"/>
          </w:tcPr>
          <w:p>
            <w:r/>
            <w:r>
              <w:rPr>
                <w:b w:val="0"/>
                <w:sz w:val="18"/>
              </w:rPr>
              <w:t>Presentación técnica final (deck consolidado)</w:t>
            </w:r>
          </w:p>
        </w:tc>
        <w:tc>
          <w:tcPr>
            <w:tcW w:type="dxa" w:w="3515"/>
          </w:tcPr>
          <w:p>
            <w:r/>
            <w:r>
              <w:rPr>
                <w:b w:val="0"/>
                <w:sz w:val="18"/>
              </w:rPr>
              <w:t>Listo — generada y publicada en el portal</w:t>
            </w:r>
          </w:p>
        </w:tc>
        <w:tc>
          <w:tcPr>
            <w:tcW w:type="dxa" w:w="1701"/>
          </w:tcPr>
          <w:p>
            <w:r/>
            <w:r>
              <w:rPr>
                <w:b w:val="0"/>
                <w:sz w:val="18"/>
              </w:rPr>
              <w:t>No</w:t>
            </w:r>
          </w:p>
        </w:tc>
      </w:tr>
      <w:tr>
        <w:tc>
          <w:tcPr>
            <w:tcW w:type="dxa" w:w="3969"/>
          </w:tcPr>
          <w:p>
            <w:r/>
            <w:r>
              <w:rPr>
                <w:b w:val="0"/>
                <w:sz w:val="18"/>
              </w:rPr>
              <w:t>Estructura de la propuesta / mapeo contra el TdR</w:t>
            </w:r>
          </w:p>
        </w:tc>
        <w:tc>
          <w:tcPr>
            <w:tcW w:type="dxa" w:w="3515"/>
          </w:tcPr>
          <w:p>
            <w:r/>
            <w:r>
              <w:rPr>
                <w:b w:val="0"/>
                <w:sz w:val="18"/>
              </w:rPr>
              <w:t>Listo</w:t>
            </w:r>
          </w:p>
        </w:tc>
        <w:tc>
          <w:tcPr>
            <w:tcW w:type="dxa" w:w="1701"/>
          </w:tcPr>
          <w:p>
            <w:r/>
            <w:r>
              <w:rPr>
                <w:b w:val="0"/>
                <w:sz w:val="18"/>
              </w:rPr>
              <w:t>No</w:t>
            </w:r>
          </w:p>
        </w:tc>
      </w:tr>
      <w:tr>
        <w:tc>
          <w:tcPr>
            <w:tcW w:type="dxa" w:w="3969"/>
          </w:tcPr>
          <w:p>
            <w:r/>
            <w:r>
              <w:rPr>
                <w:b w:val="0"/>
                <w:sz w:val="18"/>
              </w:rPr>
              <w:t>Acuerdos de Nivel de Servicio (ANS/SLA)</w:t>
            </w:r>
          </w:p>
        </w:tc>
        <w:tc>
          <w:tcPr>
            <w:tcW w:type="dxa" w:w="3515"/>
          </w:tcPr>
          <w:p>
            <w:r/>
            <w:r>
              <w:rPr>
                <w:b w:val="0"/>
                <w:sz w:val="18"/>
              </w:rPr>
              <w:t>Listo</w:t>
            </w:r>
          </w:p>
        </w:tc>
        <w:tc>
          <w:tcPr>
            <w:tcW w:type="dxa" w:w="1701"/>
          </w:tcPr>
          <w:p>
            <w:r/>
            <w:r>
              <w:rPr>
                <w:b w:val="0"/>
                <w:sz w:val="18"/>
              </w:rPr>
              <w:t>No</w:t>
            </w:r>
          </w:p>
        </w:tc>
      </w:tr>
      <w:tr>
        <w:tc>
          <w:tcPr>
            <w:tcW w:type="dxa" w:w="3969"/>
          </w:tcPr>
          <w:p>
            <w:r/>
            <w:r>
              <w:rPr>
                <w:b w:val="0"/>
                <w:sz w:val="18"/>
              </w:rPr>
              <w:t>Documentos legales/financieros de Blue Label Technologies</w:t>
            </w:r>
          </w:p>
        </w:tc>
        <w:tc>
          <w:tcPr>
            <w:tcW w:type="dxa" w:w="3515"/>
          </w:tcPr>
          <w:p>
            <w:r/>
            <w:r>
              <w:rPr>
                <w:b w:val="0"/>
                <w:sz w:val="18"/>
              </w:rPr>
              <w:t>Ausentes — 0 documentos en el expediente</w:t>
            </w:r>
          </w:p>
        </w:tc>
        <w:tc>
          <w:tcPr>
            <w:tcW w:type="dxa" w:w="1701"/>
          </w:tcPr>
          <w:p>
            <w:r/>
            <w:r>
              <w:rPr>
                <w:b w:val="0"/>
                <w:sz w:val="18"/>
              </w:rPr>
              <w:t>Posible — validar con la ECI</w:t>
            </w:r>
          </w:p>
        </w:tc>
      </w:tr>
      <w:tr>
        <w:tc>
          <w:tcPr>
            <w:tcW w:type="dxa" w:w="3969"/>
          </w:tcPr>
          <w:p>
            <w:r/>
            <w:r>
              <w:rPr>
                <w:b w:val="0"/>
                <w:sz w:val="18"/>
              </w:rPr>
              <w:t>Cámara de Comercio (Cydesys/Cyberware)</w:t>
            </w:r>
          </w:p>
        </w:tc>
        <w:tc>
          <w:tcPr>
            <w:tcW w:type="dxa" w:w="3515"/>
          </w:tcPr>
          <w:p>
            <w:r/>
            <w:r>
              <w:rPr>
                <w:b w:val="0"/>
                <w:sz w:val="18"/>
              </w:rPr>
              <w:t>Vencida para la fecha de cierre (36 días, límite 30)</w:t>
            </w:r>
          </w:p>
        </w:tc>
        <w:tc>
          <w:tcPr>
            <w:tcW w:type="dxa" w:w="1701"/>
          </w:tcPr>
          <w:p>
            <w:r/>
            <w:r>
              <w:rPr>
                <w:b w:val="0"/>
                <w:sz w:val="18"/>
              </w:rPr>
              <w:t>Posible — validar con la ECI</w:t>
            </w:r>
          </w:p>
        </w:tc>
      </w:tr>
      <w:tr>
        <w:tc>
          <w:tcPr>
            <w:tcW w:type="dxa" w:w="3969"/>
          </w:tcPr>
          <w:p>
            <w:r/>
            <w:r>
              <w:rPr>
                <w:b w:val="0"/>
                <w:sz w:val="18"/>
              </w:rPr>
              <w:t>Estados financieros 2026 (intermedios)</w:t>
            </w:r>
          </w:p>
        </w:tc>
        <w:tc>
          <w:tcPr>
            <w:tcW w:type="dxa" w:w="3515"/>
          </w:tcPr>
          <w:p>
            <w:r/>
            <w:r>
              <w:rPr>
                <w:b w:val="0"/>
                <w:sz w:val="18"/>
              </w:rPr>
              <w:t>Faltan — solo hay cierre 2025</w:t>
            </w:r>
          </w:p>
        </w:tc>
        <w:tc>
          <w:tcPr>
            <w:tcW w:type="dxa" w:w="1701"/>
          </w:tcPr>
          <w:p>
            <w:r/>
            <w:r>
              <w:rPr>
                <w:b w:val="0"/>
                <w:sz w:val="18"/>
              </w:rPr>
              <w:t>Posible — validar con la ECI</w:t>
            </w:r>
          </w:p>
        </w:tc>
      </w:tr>
      <w:tr>
        <w:tc>
          <w:tcPr>
            <w:tcW w:type="dxa" w:w="3969"/>
          </w:tcPr>
          <w:p>
            <w:r/>
            <w:r>
              <w:rPr>
                <w:b w:val="0"/>
                <w:sz w:val="18"/>
              </w:rPr>
              <w:t>Compromiso de Integridad / Anexo 5-6</w:t>
            </w:r>
          </w:p>
        </w:tc>
        <w:tc>
          <w:tcPr>
            <w:tcW w:type="dxa" w:w="3515"/>
          </w:tcPr>
          <w:p>
            <w:r/>
            <w:r>
              <w:rPr>
                <w:b w:val="0"/>
                <w:sz w:val="18"/>
              </w:rPr>
              <w:t>Plantilla sin firmar ni fechar</w:t>
            </w:r>
          </w:p>
        </w:tc>
        <w:tc>
          <w:tcPr>
            <w:tcW w:type="dxa" w:w="1701"/>
          </w:tcPr>
          <w:p>
            <w:r/>
            <w:r>
              <w:rPr>
                <w:b w:val="0"/>
                <w:sz w:val="18"/>
              </w:rPr>
              <w:t>Posible — validar con la ECI</w:t>
            </w:r>
          </w:p>
        </w:tc>
      </w:tr>
      <w:tr>
        <w:tc>
          <w:tcPr>
            <w:tcW w:type="dxa" w:w="3969"/>
          </w:tcPr>
          <w:p>
            <w:r/>
            <w:r>
              <w:rPr>
                <w:b w:val="0"/>
                <w:sz w:val="18"/>
              </w:rPr>
              <w:t>Póliza de seriedad de la oferta (10%)</w:t>
            </w:r>
          </w:p>
        </w:tc>
        <w:tc>
          <w:tcPr>
            <w:tcW w:type="dxa" w:w="3515"/>
          </w:tcPr>
          <w:p>
            <w:r/>
            <w:r>
              <w:rPr>
                <w:b w:val="0"/>
                <w:sz w:val="18"/>
              </w:rPr>
              <w:t>No existe</w:t>
            </w:r>
          </w:p>
        </w:tc>
        <w:tc>
          <w:tcPr>
            <w:tcW w:type="dxa" w:w="1701"/>
          </w:tcPr>
          <w:p>
            <w:r/>
            <w:r>
              <w:rPr>
                <w:b w:val="0"/>
                <w:sz w:val="18"/>
              </w:rPr>
              <w:t>Posible — validar con la ECI</w:t>
            </w:r>
          </w:p>
        </w:tc>
      </w:tr>
      <w:tr>
        <w:tc>
          <w:tcPr>
            <w:tcW w:type="dxa" w:w="3969"/>
          </w:tcPr>
          <w:p>
            <w:r/>
            <w:r>
              <w:rPr>
                <w:b w:val="0"/>
                <w:sz w:val="18"/>
              </w:rPr>
              <w:t>Certificados de experiencia (mín. 3 referencias)</w:t>
            </w:r>
          </w:p>
        </w:tc>
        <w:tc>
          <w:tcPr>
            <w:tcW w:type="dxa" w:w="3515"/>
          </w:tcPr>
          <w:p>
            <w:r/>
            <w:r>
              <w:rPr>
                <w:b w:val="0"/>
                <w:sz w:val="18"/>
              </w:rPr>
              <w:t>Ausentes por completo</w:t>
            </w:r>
          </w:p>
        </w:tc>
        <w:tc>
          <w:tcPr>
            <w:tcW w:type="dxa" w:w="1701"/>
          </w:tcPr>
          <w:p>
            <w:r/>
            <w:r>
              <w:rPr>
                <w:b w:val="0"/>
                <w:sz w:val="18"/>
              </w:rPr>
              <w:t>Posible — validar con la ECI</w:t>
            </w:r>
          </w:p>
        </w:tc>
      </w:tr>
      <w:tr>
        <w:tc>
          <w:tcPr>
            <w:tcW w:type="dxa" w:w="3969"/>
          </w:tcPr>
          <w:p>
            <w:r/>
            <w:r>
              <w:rPr>
                <w:b w:val="0"/>
                <w:sz w:val="18"/>
              </w:rPr>
              <w:t>Carta de aval del fabricante (Sangfor/HPE)</w:t>
            </w:r>
          </w:p>
        </w:tc>
        <w:tc>
          <w:tcPr>
            <w:tcW w:type="dxa" w:w="3515"/>
          </w:tcPr>
          <w:p>
            <w:r/>
            <w:r>
              <w:rPr>
                <w:b w:val="0"/>
                <w:sz w:val="18"/>
              </w:rPr>
              <w:t>No emitida</w:t>
            </w:r>
          </w:p>
        </w:tc>
        <w:tc>
          <w:tcPr>
            <w:tcW w:type="dxa" w:w="1701"/>
          </w:tcPr>
          <w:p>
            <w:r/>
            <w:r>
              <w:rPr>
                <w:b w:val="0"/>
                <w:sz w:val="18"/>
              </w:rPr>
              <w:t>Posible — validar con la ECI</w:t>
            </w:r>
          </w:p>
        </w:tc>
      </w:tr>
      <w:tr>
        <w:tc>
          <w:tcPr>
            <w:tcW w:type="dxa" w:w="3969"/>
          </w:tcPr>
          <w:p>
            <w:r/>
            <w:r>
              <w:rPr>
                <w:b w:val="0"/>
                <w:sz w:val="18"/>
              </w:rPr>
              <w:t>Borrador de contrato</w:t>
            </w:r>
          </w:p>
        </w:tc>
        <w:tc>
          <w:tcPr>
            <w:tcW w:type="dxa" w:w="3515"/>
          </w:tcPr>
          <w:p>
            <w:r/>
            <w:r>
              <w:rPr>
                <w:b w:val="0"/>
                <w:sz w:val="18"/>
              </w:rPr>
              <w:t>No elaborado</w:t>
            </w:r>
          </w:p>
        </w:tc>
        <w:tc>
          <w:tcPr>
            <w:tcW w:type="dxa" w:w="1701"/>
          </w:tcPr>
          <w:p>
            <w:r/>
            <w:r>
              <w:rPr>
                <w:b w:val="0"/>
                <w:sz w:val="18"/>
              </w:rPr>
              <w:t>Probablemente no (aplica al 16-sep)</w:t>
            </w:r>
          </w:p>
        </w:tc>
      </w:tr>
      <w:tr>
        <w:tc>
          <w:tcPr>
            <w:tcW w:type="dxa" w:w="3969"/>
          </w:tcPr>
          <w:p>
            <w:r/>
            <w:r>
              <w:rPr>
                <w:b w:val="0"/>
                <w:sz w:val="18"/>
              </w:rPr>
              <w:t>Anexo 2 (TCO 5 años) y Anexo 4 (cuadro técnico)</w:t>
            </w:r>
          </w:p>
        </w:tc>
        <w:tc>
          <w:tcPr>
            <w:tcW w:type="dxa" w:w="3515"/>
          </w:tcPr>
          <w:p>
            <w:r/>
            <w:r>
              <w:rPr>
                <w:b w:val="0"/>
                <w:sz w:val="18"/>
              </w:rPr>
              <w:t>Contenido listo, falta transcribir al formato oficial</w:t>
            </w:r>
          </w:p>
        </w:tc>
        <w:tc>
          <w:tcPr>
            <w:tcW w:type="dxa" w:w="1701"/>
          </w:tcPr>
          <w:p>
            <w:r/>
            <w:r>
              <w:rPr>
                <w:b w:val="0"/>
                <w:sz w:val="18"/>
              </w:rPr>
              <w:t>Parcial — Anexo 4 conviene tenerlo ya para el 7-sep</w:t>
            </w:r>
          </w:p>
        </w:tc>
      </w:tr>
    </w:tbl>
    <w:p/>
    <w:p>
      <w:r>
        <w:br w:type="page"/>
      </w:r>
    </w:p>
    <w:p>
      <w:pPr>
        <w:pStyle w:val="Heading1"/>
      </w:pPr>
      <w:r>
        <w:rPr>
          <w:b/>
          <w:color w:val="08387F"/>
          <w:sz w:val="30"/>
        </w:rPr>
        <w:t>Detalle por pendiente</w:t>
      </w:r>
    </w:p>
    <w:p>
      <w:pPr>
        <w:pStyle w:val="Heading2"/>
      </w:pPr>
      <w:r>
        <w:rPr>
          <w:b/>
          <w:color w:val="0B5ED7"/>
          <w:sz w:val="25"/>
        </w:rPr>
        <w:t xml:space="preserve">0  </w:t>
      </w:r>
      <w:r>
        <w:rPr>
          <w:b/>
          <w:color w:val="0B1220"/>
          <w:sz w:val="25"/>
        </w:rPr>
        <w:t>Arquitectura técnica — YA INTEGRADA Y RESUELTA</w:t>
      </w:r>
    </w:p>
    <w:p>
      <w:r>
        <w:rPr>
          <w:i w:val="0"/>
          <w:color w:val="42506B"/>
          <w:sz w:val="20"/>
        </w:rPr>
        <w:t>La arquitectura de virtualización Sangfor (aSV + aNet, sin HCI completa) y la arquitectura de hardware física recomendada por Cydesys (HPE ProLiant DL380 Gen11, cabina SAN externa MSA2062) quedaron consolidadas en una sola presentación técnica final, lista para incluir en la propuesta del 7 de septiembre. La Opción B (actualización Dell) queda documentada como alternativa de menor inversión con riesgo de cumplimiento explícito.</w:t>
      </w:r>
    </w:p>
    <w:p>
      <w:pPr>
        <w:pStyle w:val="ListBullet"/>
      </w:pPr>
      <w:r>
        <w:rPr>
          <w:b/>
          <w:color w:val="0B1220"/>
          <w:sz w:val="19"/>
        </w:rPr>
        <w:t xml:space="preserve">Acción: </w:t>
      </w:r>
      <w:r>
        <w:rPr>
          <w:color w:val="42506B"/>
          <w:sz w:val="19"/>
        </w:rPr>
        <w:t xml:space="preserve"> ninguna — este punto está resuelto. Revisar la presentación final antes de radicar por si se requiere algún ajuste de última hora.</w:t>
      </w:r>
    </w:p>
    <w:p>
      <w:pPr>
        <w:spacing w:before="40" w:after="200"/>
        <w:pBdr>
          <w:bottom w:val="single" w:sz="6" w:space="1" w:color="DCE6F5"/>
        </w:pBdr>
      </w:pPr>
    </w:p>
    <w:p>
      <w:pPr>
        <w:pStyle w:val="Heading2"/>
      </w:pPr>
      <w:r>
        <w:rPr>
          <w:b/>
          <w:color w:val="0B5ED7"/>
          <w:sz w:val="25"/>
        </w:rPr>
        <w:t xml:space="preserve">1  </w:t>
      </w:r>
      <w:r>
        <w:rPr>
          <w:b/>
          <w:color w:val="0B1220"/>
          <w:sz w:val="25"/>
        </w:rPr>
        <w:t>Documentación jurídica y financiera de Blue Label Technologies</w:t>
      </w:r>
    </w:p>
    <w:p>
      <w:r>
        <w:rPr>
          <w:i w:val="0"/>
          <w:color w:val="42506B"/>
          <w:sz w:val="20"/>
        </w:rPr>
        <w:t>El RUT, la Cámara de Comercio y los estados financieros que existen en el expediente corresponden a CYBERWARE S.A.S. (nombre comercial CPCYDESYS, NIT 901.052.986-8) — el establecimiento de comercio bajo el cual opera Cydesys. No existe ningún documento jurídico o financiero propio de Blue Label Technologies S.A.S.</w:t>
      </w:r>
    </w:p>
    <w:p>
      <w:pPr>
        <w:pStyle w:val="ListBullet"/>
      </w:pPr>
      <w:r>
        <w:rPr>
          <w:b/>
          <w:color w:val="0B1220"/>
          <w:sz w:val="19"/>
        </w:rPr>
        <w:t xml:space="preserve">Por qué es crítico: </w:t>
      </w:r>
      <w:r>
        <w:rPr>
          <w:color w:val="42506B"/>
          <w:sz w:val="19"/>
        </w:rPr>
        <w:t xml:space="preserve"> la ECI confirmó por escrito que, en una figura asociativa (Unión Temporal), los documentos jurídicos y financieros deben presentarse de forma independiente por cada integrante — no basta con los de Cydesys.</w:t>
      </w:r>
    </w:p>
    <w:p>
      <w:pPr>
        <w:pStyle w:val="ListBullet"/>
      </w:pPr>
      <w:r>
        <w:rPr>
          <w:b/>
          <w:color w:val="0B1220"/>
          <w:sz w:val="19"/>
        </w:rPr>
        <w:t xml:space="preserve">Acción: </w:t>
      </w:r>
      <w:r>
        <w:rPr>
          <w:color w:val="42506B"/>
          <w:sz w:val="19"/>
        </w:rPr>
        <w:t xml:space="preserve"> reunir y cargar RUT, Cámara de Comercio y estados financieros 2025 + intermedios 2026 de Blue Label Technologies S.A.S.</w:t>
      </w:r>
    </w:p>
    <w:p>
      <w:pPr>
        <w:spacing w:before="40" w:after="200"/>
        <w:pBdr>
          <w:bottom w:val="single" w:sz="6" w:space="1" w:color="DCE6F5"/>
        </w:pBdr>
      </w:pPr>
    </w:p>
    <w:p>
      <w:pPr>
        <w:pStyle w:val="Heading2"/>
      </w:pPr>
      <w:r>
        <w:rPr>
          <w:b/>
          <w:color w:val="0B5ED7"/>
          <w:sz w:val="25"/>
        </w:rPr>
        <w:t xml:space="preserve">2  </w:t>
      </w:r>
      <w:r>
        <w:rPr>
          <w:b/>
          <w:color w:val="0B1220"/>
          <w:sz w:val="25"/>
        </w:rPr>
        <w:t>Cámara de Comercio de Cydesys — vigencia vencida</w:t>
      </w:r>
    </w:p>
    <w:p>
      <w:r>
        <w:rPr>
          <w:i w:val="0"/>
          <w:color w:val="42506B"/>
          <w:sz w:val="20"/>
        </w:rPr>
        <w:t>El certificado de Cámara de Comercio de Cyberware S.A.S. tiene fecha de expedición 11 de agosto de 2026. El TdR exige que este documento tenga máximo 30 días calendario de expedido respecto a la fecha límite de entrega (16 de septiembre de 2026) — a esa fecha el certificado tendría 36 días, fuera del límite permitido.</w:t>
      </w:r>
    </w:p>
    <w:p>
      <w:pPr>
        <w:pStyle w:val="ListBullet"/>
      </w:pPr>
      <w:r>
        <w:rPr>
          <w:b/>
          <w:color w:val="0B1220"/>
          <w:sz w:val="19"/>
        </w:rPr>
        <w:t xml:space="preserve">Acción: </w:t>
      </w:r>
      <w:r>
        <w:rPr>
          <w:color w:val="42506B"/>
          <w:sz w:val="19"/>
        </w:rPr>
        <w:t xml:space="preserve"> solicitar a Cydesys un certificado de Cámara de Comercio actualizado, expedido dentro de los 30 días previos al 16 de septiembre.</w:t>
      </w:r>
    </w:p>
    <w:p>
      <w:pPr>
        <w:spacing w:before="40" w:after="200"/>
        <w:pBdr>
          <w:bottom w:val="single" w:sz="6" w:space="1" w:color="DCE6F5"/>
        </w:pBdr>
      </w:pPr>
    </w:p>
    <w:p>
      <w:pPr>
        <w:pStyle w:val="Heading2"/>
      </w:pPr>
      <w:r>
        <w:rPr>
          <w:b/>
          <w:color w:val="0B5ED7"/>
          <w:sz w:val="25"/>
        </w:rPr>
        <w:t xml:space="preserve">3  </w:t>
      </w:r>
      <w:r>
        <w:rPr>
          <w:b/>
          <w:color w:val="0B1220"/>
          <w:sz w:val="25"/>
        </w:rPr>
        <w:t>Estados financieros intermedios 2026</w:t>
      </w:r>
    </w:p>
    <w:p>
      <w:r>
        <w:rPr>
          <w:i w:val="0"/>
          <w:color w:val="42506B"/>
          <w:sz w:val="20"/>
        </w:rPr>
        <w:t>Solo se cuenta con los estados financieros individuales con corte a diciembre de 2025. El TdR exige adicionalmente estados financieros de prueba/intermedios con corte 2026, junto con notas y firma del revisor fiscal (o la salvedad legal correspondiente si la empresa está exceptuada por su tamaño).</w:t>
      </w:r>
    </w:p>
    <w:p>
      <w:pPr>
        <w:pStyle w:val="ListBullet"/>
      </w:pPr>
      <w:r>
        <w:rPr>
          <w:b/>
          <w:color w:val="0B1220"/>
          <w:sz w:val="19"/>
        </w:rPr>
        <w:t xml:space="preserve">Acción: </w:t>
      </w:r>
      <w:r>
        <w:rPr>
          <w:color w:val="42506B"/>
          <w:sz w:val="19"/>
        </w:rPr>
        <w:t xml:space="preserve"> solicitar a Cydesys (y preparar para Blue Label) los estados financieros intermedios 2026, con notas y certificación del revisor fiscal o la aclaración legal de exención.</w:t>
      </w:r>
    </w:p>
    <w:p>
      <w:pPr>
        <w:spacing w:before="40" w:after="200"/>
        <w:pBdr>
          <w:bottom w:val="single" w:sz="6" w:space="1" w:color="DCE6F5"/>
        </w:pBdr>
      </w:pPr>
    </w:p>
    <w:p>
      <w:pPr>
        <w:pStyle w:val="Heading2"/>
      </w:pPr>
      <w:r>
        <w:rPr>
          <w:b/>
          <w:color w:val="0B5ED7"/>
          <w:sz w:val="25"/>
        </w:rPr>
        <w:t xml:space="preserve">4  </w:t>
      </w:r>
      <w:r>
        <w:rPr>
          <w:b/>
          <w:color w:val="0B1220"/>
          <w:sz w:val="25"/>
        </w:rPr>
        <w:t>Anexo 5/6 — Compromiso de Integridad y Anticorrupción</w:t>
      </w:r>
    </w:p>
    <w:p>
      <w:r>
        <w:rPr>
          <w:i w:val="0"/>
          <w:color w:val="42506B"/>
          <w:sz w:val="20"/>
        </w:rPr>
        <w:t>El documento existe en el expediente pero como plantilla en blanco: sin diligenciar, sin firma del representante legal ni fecha. Es una declaración obligatoria (compromiso anticorrupción, prevención interna, canales de denuncia, protección a denunciantes) que debe entregarse firmada bajo gravedad de juramento.</w:t>
      </w:r>
    </w:p>
    <w:p>
      <w:pPr>
        <w:pStyle w:val="ListBullet"/>
      </w:pPr>
      <w:r>
        <w:rPr>
          <w:b/>
          <w:color w:val="0B1220"/>
          <w:sz w:val="19"/>
        </w:rPr>
        <w:t xml:space="preserve">Acción: </w:t>
      </w:r>
      <w:r>
        <w:rPr>
          <w:color w:val="42506B"/>
          <w:sz w:val="19"/>
        </w:rPr>
        <w:t xml:space="preserve"> diligenciar y firmar el Anexo con el representante legal de cada integrante de la Unión Temporal.</w:t>
      </w:r>
    </w:p>
    <w:p>
      <w:pPr>
        <w:spacing w:before="40" w:after="200"/>
        <w:pBdr>
          <w:bottom w:val="single" w:sz="6" w:space="1" w:color="DCE6F5"/>
        </w:pBdr>
      </w:pPr>
    </w:p>
    <w:p>
      <w:pPr>
        <w:pStyle w:val="Heading2"/>
      </w:pPr>
      <w:r>
        <w:rPr>
          <w:b/>
          <w:color w:val="0B5ED7"/>
          <w:sz w:val="25"/>
        </w:rPr>
        <w:t xml:space="preserve">5  </w:t>
      </w:r>
      <w:r>
        <w:rPr>
          <w:b/>
          <w:color w:val="0B1220"/>
          <w:sz w:val="25"/>
        </w:rPr>
        <w:t>Póliza de seriedad de la oferta (10% del contrato)</w:t>
      </w:r>
    </w:p>
    <w:p>
      <w:r>
        <w:rPr>
          <w:i w:val="0"/>
          <w:color w:val="42506B"/>
          <w:sz w:val="20"/>
        </w:rPr>
        <w:t>El TdR la exige de forma obligatoria como anexo de la propuesta final. No hay ningún documento de póliza en el expediente — ni siquiera una cotización de la aseguradora.</w:t>
      </w:r>
    </w:p>
    <w:p>
      <w:pPr>
        <w:pStyle w:val="ListBullet"/>
      </w:pPr>
      <w:r>
        <w:rPr>
          <w:b/>
          <w:color w:val="0B1220"/>
          <w:sz w:val="19"/>
        </w:rPr>
        <w:t xml:space="preserve">Acción: </w:t>
      </w:r>
      <w:r>
        <w:rPr>
          <w:color w:val="42506B"/>
          <w:sz w:val="19"/>
        </w:rPr>
        <w:t xml:space="preserve"> cotizar la póliza de seriedad de la oferta con la aseguradora, a nombre de la Unión Temporal completa (BLT + Cydesys) como un solo tomador — este trámite puede tardar varios días, iniciar cuanto antes.</w:t>
      </w:r>
    </w:p>
    <w:p>
      <w:pPr>
        <w:spacing w:before="40" w:after="200"/>
        <w:pBdr>
          <w:bottom w:val="single" w:sz="6" w:space="1" w:color="DCE6F5"/>
        </w:pBdr>
      </w:pPr>
    </w:p>
    <w:p>
      <w:pPr>
        <w:pStyle w:val="Heading2"/>
      </w:pPr>
      <w:r>
        <w:rPr>
          <w:b/>
          <w:color w:val="0B5ED7"/>
          <w:sz w:val="25"/>
        </w:rPr>
        <w:t xml:space="preserve">6  </w:t>
      </w:r>
      <w:r>
        <w:rPr>
          <w:b/>
          <w:color w:val="0B1220"/>
          <w:sz w:val="25"/>
        </w:rPr>
        <w:t>Certificados de experiencia y referencias comerciales</w:t>
      </w:r>
    </w:p>
    <w:p>
      <w:r>
        <w:rPr>
          <w:i w:val="0"/>
          <w:color w:val="42506B"/>
          <w:sz w:val="20"/>
        </w:rPr>
        <w:t>El TdR exige certificar experiencia en implementaciones similares: objeto del contrato, alcance, valor, fecha de ejecución, y mínimo tres referencias comerciales de los últimos dos años con datos de contacto verificables. No hay una sola certificación de experiencia, listado de proyectos o carta de recomendación en el expediente, ni de Cydesys/Cyberware ni de Blue Label.</w:t>
      </w:r>
    </w:p>
    <w:p>
      <w:pPr>
        <w:pStyle w:val="ListBullet"/>
      </w:pPr>
      <w:r>
        <w:rPr>
          <w:b/>
          <w:color w:val="0B1220"/>
          <w:sz w:val="19"/>
        </w:rPr>
        <w:t xml:space="preserve">Acción: </w:t>
      </w:r>
      <w:r>
        <w:rPr>
          <w:color w:val="42506B"/>
          <w:sz w:val="19"/>
        </w:rPr>
        <w:t xml:space="preserve"> recopilar mínimo 3 certificaciones/cartas de referencia de clientes de los últimos 2 años (Cydesys y/o BLT) que respalden implementaciones similares de virtualización/HCI.</w:t>
      </w:r>
    </w:p>
    <w:p>
      <w:pPr>
        <w:spacing w:before="40" w:after="200"/>
        <w:pBdr>
          <w:bottom w:val="single" w:sz="6" w:space="1" w:color="DCE6F5"/>
        </w:pBdr>
      </w:pPr>
    </w:p>
    <w:p>
      <w:pPr>
        <w:pStyle w:val="Heading2"/>
      </w:pPr>
      <w:r>
        <w:rPr>
          <w:b/>
          <w:color w:val="0B5ED7"/>
          <w:sz w:val="25"/>
        </w:rPr>
        <w:t xml:space="preserve">7  </w:t>
      </w:r>
      <w:r>
        <w:rPr>
          <w:b/>
          <w:color w:val="0B1220"/>
          <w:sz w:val="25"/>
        </w:rPr>
        <w:t>Carta de aval del fabricante</w:t>
      </w:r>
    </w:p>
    <w:p>
      <w:r>
        <w:rPr>
          <w:i w:val="0"/>
          <w:color w:val="42506B"/>
          <w:sz w:val="20"/>
        </w:rPr>
        <w:t>El TdR exige un documento formal del fabricante (Sangfor, y HPE según la opción de hardware recomendada) que avale al proponente/implementador como canal autorizado. No existe esta carta en el expediente.</w:t>
      </w:r>
    </w:p>
    <w:p>
      <w:pPr>
        <w:pStyle w:val="ListBullet"/>
      </w:pPr>
      <w:r>
        <w:rPr>
          <w:b/>
          <w:color w:val="0B1220"/>
          <w:sz w:val="19"/>
        </w:rPr>
        <w:t xml:space="preserve">Acción: </w:t>
      </w:r>
      <w:r>
        <w:rPr>
          <w:color w:val="42506B"/>
          <w:sz w:val="19"/>
        </w:rPr>
        <w:t xml:space="preserve"> solicitar la carta de aval a Sangfor Colombia (para el software) y a HPE (para el hardware de la Opción A recomendada).</w:t>
      </w:r>
    </w:p>
    <w:p>
      <w:pPr>
        <w:spacing w:before="40" w:after="200"/>
        <w:pBdr>
          <w:bottom w:val="single" w:sz="6" w:space="1" w:color="DCE6F5"/>
        </w:pBdr>
      </w:pPr>
    </w:p>
    <w:p>
      <w:pPr>
        <w:pStyle w:val="Heading2"/>
      </w:pPr>
      <w:r>
        <w:rPr>
          <w:b/>
          <w:color w:val="0B5ED7"/>
          <w:sz w:val="25"/>
        </w:rPr>
        <w:t xml:space="preserve">8  </w:t>
      </w:r>
      <w:r>
        <w:rPr>
          <w:b/>
          <w:color w:val="0B1220"/>
          <w:sz w:val="25"/>
        </w:rPr>
        <w:t>Borrador de contrato</w:t>
      </w:r>
    </w:p>
    <w:p>
      <w:r>
        <w:rPr>
          <w:i w:val="0"/>
          <w:color w:val="42506B"/>
          <w:sz w:val="20"/>
        </w:rPr>
        <w:t>El TdR pide incluir en la propuesta un borrador de contrato con los productos y servicios ofrecidos. Este documento no está estructurado todavía — aplica probablemente a la propuesta final del 16-sep, no a la técnica del 7-sep.</w:t>
      </w:r>
    </w:p>
    <w:p>
      <w:pPr>
        <w:pStyle w:val="ListBullet"/>
      </w:pPr>
      <w:r>
        <w:rPr>
          <w:b/>
          <w:color w:val="0B1220"/>
          <w:sz w:val="19"/>
        </w:rPr>
        <w:t xml:space="preserve">Acción: </w:t>
      </w:r>
      <w:r>
        <w:rPr>
          <w:color w:val="42506B"/>
          <w:sz w:val="19"/>
        </w:rPr>
        <w:t xml:space="preserve"> redactar el borrador de contrato una vez esté cerrado el alcance económico sobre la Opción A (HPE).</w:t>
      </w:r>
    </w:p>
    <w:p>
      <w:pPr>
        <w:spacing w:before="40" w:after="200"/>
        <w:pBdr>
          <w:bottom w:val="single" w:sz="6" w:space="1" w:color="DCE6F5"/>
        </w:pBdr>
      </w:pPr>
    </w:p>
    <w:p>
      <w:pPr>
        <w:pStyle w:val="Heading2"/>
      </w:pPr>
      <w:r>
        <w:rPr>
          <w:b/>
          <w:color w:val="0B5ED7"/>
          <w:sz w:val="25"/>
        </w:rPr>
        <w:t xml:space="preserve">9  </w:t>
      </w:r>
      <w:r>
        <w:rPr>
          <w:b/>
          <w:color w:val="0B1220"/>
          <w:sz w:val="25"/>
        </w:rPr>
        <w:t>Anexo 2 (TCO a 5 años) y Anexo 4 (cuadro técnico) sin diligenciar</w:t>
      </w:r>
    </w:p>
    <w:p>
      <w:r>
        <w:rPr>
          <w:i w:val="0"/>
          <w:color w:val="42506B"/>
          <w:sz w:val="20"/>
        </w:rPr>
        <w:t>Ambos anexos existen en el expediente únicamente como plantillas vacías. El contenido técnico para el Anexo 4 ya existe (arquitectura, cumplimiento punto por punto) — solo falta transcribirlo al formato oficial, lo cual conviene tener listo para el 7-sep aunque el TdR no lo pida explícitamente ese día. El Anexo 2 requiere las cifras de TCO, que dependen de la opción de hardware finalmente elegida — aplica al 16-sep.</w:t>
      </w:r>
    </w:p>
    <w:p>
      <w:pPr>
        <w:pStyle w:val="ListBullet"/>
      </w:pPr>
      <w:r>
        <w:rPr>
          <w:b/>
          <w:color w:val="0B1220"/>
          <w:sz w:val="19"/>
        </w:rPr>
        <w:t xml:space="preserve">Acción: </w:t>
      </w:r>
      <w:r>
        <w:rPr>
          <w:color w:val="42506B"/>
          <w:sz w:val="19"/>
        </w:rPr>
        <w:t xml:space="preserve"> transcribir el cumplimiento técnico ya documentado al formato oficial del Anexo 4 antes del 7-sep, como respaldo de la propuesta técnica.</w:t>
      </w:r>
    </w:p>
    <w:p>
      <w:r>
        <w:br w:type="page"/>
      </w:r>
    </w:p>
    <w:p>
      <w:pPr>
        <w:pStyle w:val="Heading1"/>
      </w:pPr>
      <w:r>
        <w:rPr>
          <w:b/>
          <w:color w:val="08387F"/>
          <w:sz w:val="30"/>
        </w:rPr>
        <w:t>Lo que SÍ está resuelto</w:t>
      </w:r>
    </w:p>
    <w:p>
      <w:pPr>
        <w:pStyle w:val="ListBullet"/>
      </w:pPr>
      <w:r>
        <w:rPr>
          <w:color w:val="42506B"/>
          <w:sz w:val="19"/>
        </w:rPr>
        <w:t>Arquitectura de virtualización Sangfor (aSV + aNet) sobre clúster de 4 nodos, alcance confirmado con la ECI — documentado en la Solución técnica.</w:t>
      </w:r>
    </w:p>
    <w:p>
      <w:pPr>
        <w:pStyle w:val="ListBullet"/>
      </w:pPr>
      <w:r>
        <w:rPr>
          <w:color w:val="42506B"/>
          <w:sz w:val="19"/>
        </w:rPr>
        <w:t>Arquitectura de hardware HPE ProLiant DL380 Gen11 recomendada, con Opción Dell como alternativa documentada con su riesgo de cumplimiento.</w:t>
      </w:r>
    </w:p>
    <w:p>
      <w:pPr>
        <w:pStyle w:val="ListBullet"/>
      </w:pPr>
      <w:r>
        <w:rPr>
          <w:color w:val="42506B"/>
          <w:sz w:val="19"/>
        </w:rPr>
        <w:t>Presentación técnica final consolidada (Sangfor + Cydesys HPE) generada, con identidad visual editorial, lista para incluir en la propuesta del 7 de septiembre.</w:t>
      </w:r>
    </w:p>
    <w:p>
      <w:pPr>
        <w:pStyle w:val="ListBullet"/>
      </w:pPr>
      <w:r>
        <w:rPr>
          <w:color w:val="42506B"/>
          <w:sz w:val="19"/>
        </w:rPr>
        <w:t>Estructura maestra de la propuesta técnica, mapeada contra los 7 criterios de evaluación del TdR.</w:t>
      </w:r>
    </w:p>
    <w:p>
      <w:pPr>
        <w:pStyle w:val="ListBullet"/>
      </w:pPr>
      <w:r>
        <w:rPr>
          <w:color w:val="42506B"/>
          <w:sz w:val="19"/>
        </w:rPr>
        <w:t>Acuerdos de Nivel de Servicio (ANS/SLA) definidos: clasificación de incidentes, tiempos de respuesta y escalamiento.</w:t>
      </w:r>
    </w:p>
    <w:p>
      <w:pPr>
        <w:pStyle w:val="ListBullet"/>
      </w:pPr>
      <w:r>
        <w:rPr>
          <w:color w:val="42506B"/>
          <w:sz w:val="19"/>
        </w:rPr>
        <w:t>Cronograma vigente y respuestas oficiales de la ECI ya incorporadas.</w:t>
      </w:r>
    </w:p>
    <w:p>
      <w:pPr>
        <w:pStyle w:val="ListBullet"/>
      </w:pPr>
      <w:r>
        <w:rPr>
          <w:color w:val="42506B"/>
          <w:sz w:val="19"/>
        </w:rPr>
        <w:t>Recomendación técnica clara y documentada entre las dos rutas de hardware (HPE sin riesgo vs. Dell con riesgo de cumplimiento).</w:t>
      </w:r>
    </w:p>
    <w:p/>
    <w:p>
      <w:r>
        <w:rPr>
          <w:i/>
          <w:color w:val="42506B"/>
          <w:sz w:val="16"/>
        </w:rPr>
        <w:t>Blue Label Technologies · Cydesys · Escuela Colombiana de Ingeniería Julio Garavito — documento de trabajo interno, actualizado el 5 de septiembre de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